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E3D99" w14:textId="77777777" w:rsidR="00F610C4" w:rsidRDefault="00000000">
      <w:pPr>
        <w:pStyle w:val="Title"/>
      </w:pPr>
      <w:r>
        <w:t>Final Summary: The V the People Conference on an Article V Convention</w:t>
      </w:r>
    </w:p>
    <w:p w14:paraId="391DE4E2" w14:textId="77777777" w:rsidR="00F610C4" w:rsidRDefault="00000000">
      <w:pPr>
        <w:pStyle w:val="Subtitle"/>
      </w:pPr>
      <w:r>
        <w:t>Harvard Law School · October 2–3, 2026 · Ten sessions, about thirty speakers</w:t>
      </w:r>
    </w:p>
    <w:tbl>
      <w:tblPr>
        <w:tblStyle w:val="Table"/>
        <w:tblW w:w="5000" w:type="pct"/>
        <w:tblLook w:val="0000" w:firstRow="0" w:lastRow="0" w:firstColumn="0" w:lastColumn="0" w:noHBand="0" w:noVBand="0"/>
      </w:tblPr>
      <w:tblGrid>
        <w:gridCol w:w="1279"/>
        <w:gridCol w:w="8281"/>
      </w:tblGrid>
      <w:tr w:rsidR="00F610C4" w14:paraId="14B30E7D" w14:textId="77777777">
        <w:tc>
          <w:tcPr>
            <w:tcW w:w="0" w:type="auto"/>
          </w:tcPr>
          <w:p w14:paraId="4AE284D2" w14:textId="77777777" w:rsidR="00F610C4" w:rsidRDefault="00000000">
            <w:pPr>
              <w:pStyle w:val="Compact"/>
            </w:pPr>
            <w:r>
              <w:t>Dates and place</w:t>
            </w:r>
          </w:p>
        </w:tc>
        <w:tc>
          <w:tcPr>
            <w:tcW w:w="0" w:type="auto"/>
          </w:tcPr>
          <w:p w14:paraId="6F0E5A82" w14:textId="77777777" w:rsidR="00F610C4" w:rsidRDefault="00000000">
            <w:pPr>
              <w:pStyle w:val="Compact"/>
            </w:pPr>
            <w:r>
              <w:t>Friday and Saturday, October 2–3, 2026, Wasserstein Hall, Harvard Law School</w:t>
            </w:r>
          </w:p>
        </w:tc>
      </w:tr>
      <w:tr w:rsidR="00F610C4" w14:paraId="00B7AB03" w14:textId="77777777">
        <w:tc>
          <w:tcPr>
            <w:tcW w:w="0" w:type="auto"/>
          </w:tcPr>
          <w:p w14:paraId="343F7C0C" w14:textId="77777777" w:rsidR="00F610C4" w:rsidRDefault="00000000">
            <w:pPr>
              <w:pStyle w:val="Compact"/>
            </w:pPr>
            <w:r>
              <w:t>Hosts</w:t>
            </w:r>
          </w:p>
        </w:tc>
        <w:tc>
          <w:tcPr>
            <w:tcW w:w="0" w:type="auto"/>
          </w:tcPr>
          <w:p w14:paraId="02869967" w14:textId="77777777" w:rsidR="00F610C4" w:rsidRDefault="00000000">
            <w:pPr>
              <w:pStyle w:val="Compact"/>
            </w:pPr>
            <w:r>
              <w:t>Lawrence Lessig and Michael Farris. Designed and run by students from Lessig’s seminar on amending the Constitution by convention, taught with Sanford Levinson.</w:t>
            </w:r>
          </w:p>
        </w:tc>
      </w:tr>
      <w:tr w:rsidR="00F610C4" w14:paraId="7B5A1705" w14:textId="77777777">
        <w:tc>
          <w:tcPr>
            <w:tcW w:w="0" w:type="auto"/>
          </w:tcPr>
          <w:p w14:paraId="2128341D" w14:textId="77777777" w:rsidR="00F610C4" w:rsidRDefault="00000000">
            <w:pPr>
              <w:pStyle w:val="Compact"/>
            </w:pPr>
            <w:r>
              <w:t>Partners and funding</w:t>
            </w:r>
          </w:p>
        </w:tc>
        <w:tc>
          <w:tcPr>
            <w:tcW w:w="0" w:type="auto"/>
          </w:tcPr>
          <w:p w14:paraId="1E63F27B" w14:textId="1B451293" w:rsidR="00F610C4" w:rsidRDefault="00000000">
            <w:pPr>
              <w:pStyle w:val="Compact"/>
            </w:pPr>
            <w:r>
              <w:t xml:space="preserve">The </w:t>
            </w:r>
            <w:r>
              <w:rPr>
                <w:i/>
                <w:iCs/>
              </w:rPr>
              <w:t>Harvard Journal on Legislation</w:t>
            </w:r>
            <w:r>
              <w:t xml:space="preserve"> will publish panelists’ essays. The website lists support from the MacArthur Foundation and the National Federalism Commission. Lessig disclosed funding from the MacArthur Foundation, Joe Penland, and Greg </w:t>
            </w:r>
            <w:r w:rsidR="00EE7646">
              <w:t>Wendt.</w:t>
            </w:r>
          </w:p>
        </w:tc>
      </w:tr>
      <w:tr w:rsidR="00F610C4" w14:paraId="6876CDAC" w14:textId="77777777">
        <w:tc>
          <w:tcPr>
            <w:tcW w:w="0" w:type="auto"/>
          </w:tcPr>
          <w:p w14:paraId="4A321FD0" w14:textId="77777777" w:rsidR="00F610C4" w:rsidRDefault="00000000">
            <w:pPr>
              <w:pStyle w:val="Compact"/>
            </w:pPr>
            <w:r>
              <w:t>Format</w:t>
            </w:r>
          </w:p>
        </w:tc>
        <w:tc>
          <w:tcPr>
            <w:tcW w:w="0" w:type="auto"/>
          </w:tcPr>
          <w:p w14:paraId="7FFB5848" w14:textId="77777777" w:rsidR="00F610C4" w:rsidRDefault="00000000">
            <w:pPr>
              <w:pStyle w:val="Compact"/>
            </w:pPr>
            <w:r>
              <w:t>A keynote, two sets of opening remarks, two conversations, five panels, and a closing dinner conversation</w:t>
            </w:r>
          </w:p>
        </w:tc>
      </w:tr>
    </w:tbl>
    <w:p w14:paraId="30BD2191" w14:textId="77777777" w:rsidR="00F610C4" w:rsidRDefault="00000000">
      <w:pPr>
        <w:pStyle w:val="Heading1"/>
      </w:pPr>
      <w:bookmarkStart w:id="0" w:name="in-brief"/>
      <w:r>
        <w:t>In brief</w:t>
      </w:r>
    </w:p>
    <w:p w14:paraId="62BD8899" w14:textId="77777777" w:rsidR="00F610C4" w:rsidRDefault="00000000">
      <w:pPr>
        <w:pStyle w:val="FirstParagraph"/>
      </w:pPr>
      <w:r>
        <w:t>The conference reached agreement on two premises and not on the conclusion. Nearly every speaker, including every member of the skeptics’ panel, said the Constitution needs amendment and that the congressional route has stalled. No consensus emerged that a convention is the right way to restart it. As the moderator of the final panel put it, there is “some unanimity that our Constitution needs some serious work, but not quite unanimity about the desirability of an Article Five convention process.”</w:t>
      </w:r>
      <w:r>
        <w:rPr>
          <w:rStyle w:val="FootnoteReference"/>
        </w:rPr>
        <w:footnoteReference w:id="1"/>
      </w:r>
    </w:p>
    <w:p w14:paraId="1C2E3604" w14:textId="77777777" w:rsidR="00F610C4" w:rsidRDefault="00000000">
      <w:pPr>
        <w:pStyle w:val="BodyText"/>
      </w:pPr>
      <w:r>
        <w:t>The debate moved during the day. It began with the familiar question of whether a convention called on one subject would “run away” to others. By the end, that question had largely given way to a different one: who would control a convention. Who chooses the delegates, how their votes are counted, who pays for the campaigns and the lobbying, and who decides disputes. The legal case for limited conventions held up well. Michael Rappaport argued that the original meaning forbids runaways,</w:t>
      </w:r>
      <w:r>
        <w:rPr>
          <w:rStyle w:val="FootnoteReference"/>
        </w:rPr>
        <w:footnoteReference w:id="2"/>
      </w:r>
      <w:r>
        <w:t xml:space="preserve"> and 81 percent of the international experts Richard Albert surveyed agreed a convention’s agenda can be legally confined. But both Rappaport and those same experts said limits would be hard to enforce in practice. The skeptics’ strongest arguments were about control, not scope.</w:t>
      </w:r>
    </w:p>
    <w:p w14:paraId="33DB0887" w14:textId="77777777" w:rsidR="00F610C4" w:rsidRDefault="00000000">
      <w:pPr>
        <w:pStyle w:val="BodyText"/>
      </w:pPr>
      <w:r>
        <w:lastRenderedPageBreak/>
        <w:t xml:space="preserve">Two families of safeguards emerged. The first is centered on state legislatures: applications limited to one subject, state laws binding delegates on the model of </w:t>
      </w:r>
      <w:r>
        <w:rPr>
          <w:i/>
          <w:iCs/>
        </w:rPr>
        <w:t>Chiafalo v. Washington</w:t>
      </w:r>
      <w:r>
        <w:t>,</w:t>
      </w:r>
      <w:r>
        <w:rPr>
          <w:rStyle w:val="FootnoteReference"/>
        </w:rPr>
        <w:footnoteReference w:id="3"/>
      </w:r>
      <w:r>
        <w:t xml:space="preserve"> an interstate compact fixing one state, one vote and the convention’s scope,</w:t>
      </w:r>
      <w:r>
        <w:rPr>
          <w:rStyle w:val="FootnoteReference"/>
        </w:rPr>
        <w:footnoteReference w:id="4"/>
      </w:r>
      <w:r>
        <w:t xml:space="preserve"> model rules from the 2017 Phoenix planning convention, and ratification by 38 states. The second is centered on the people: randomly selected citizens’ assemblies, delegates chosen by lot or bound to those assemblies, citizen juries for ratification, and Lessig’s proposal that thirteen states pledge in advance to reject any amendment that lacks democratic accountability.</w:t>
      </w:r>
      <w:r>
        <w:rPr>
          <w:rStyle w:val="FootnoteReference"/>
        </w:rPr>
        <w:footnoteReference w:id="5"/>
      </w:r>
      <w:r>
        <w:t xml:space="preserve"> Skeptics called the first family paper safeguards administered by partisan legislatures. The second family answers their main objections better, but it has no clear path into law. The officials closest to running a convention rejected it, and Lessig conceded that legislatures will not adopt sortition.</w:t>
      </w:r>
    </w:p>
    <w:p w14:paraId="74E2EB0C" w14:textId="77777777" w:rsidR="00F610C4" w:rsidRDefault="00000000">
      <w:pPr>
        <w:pStyle w:val="BodyText"/>
      </w:pPr>
      <w:r>
        <w:t>That leaves the conference’s most important practical finding. If a convention comes soon, it is most likely to be a fiscal convention, called through legislatures and staffed by legislature-chosen delegates under one state, one vote. That is the convention the skeptics fear most and the one the people-centered safeguards are least likely to shape.</w:t>
      </w:r>
    </w:p>
    <w:p w14:paraId="40601A8E" w14:textId="77777777" w:rsidR="00F610C4" w:rsidRDefault="00000000">
      <w:pPr>
        <w:pStyle w:val="Heading1"/>
      </w:pPr>
      <w:bookmarkStart w:id="1" w:name="the-conference-at-a-glance"/>
      <w:bookmarkEnd w:id="0"/>
      <w:r>
        <w:t>The conference at a glance</w:t>
      </w:r>
    </w:p>
    <w:tbl>
      <w:tblPr>
        <w:tblStyle w:val="Table"/>
        <w:tblW w:w="5000" w:type="pct"/>
        <w:tblLook w:val="0020" w:firstRow="1" w:lastRow="0" w:firstColumn="0" w:lastColumn="0" w:noHBand="0" w:noVBand="0"/>
      </w:tblPr>
      <w:tblGrid>
        <w:gridCol w:w="1543"/>
        <w:gridCol w:w="2895"/>
        <w:gridCol w:w="5122"/>
      </w:tblGrid>
      <w:tr w:rsidR="00F610C4" w14:paraId="39BFD680" w14:textId="77777777" w:rsidTr="00F610C4">
        <w:trPr>
          <w:cnfStyle w:val="100000000000" w:firstRow="1" w:lastRow="0" w:firstColumn="0" w:lastColumn="0" w:oddVBand="0" w:evenVBand="0" w:oddHBand="0" w:evenHBand="0" w:firstRowFirstColumn="0" w:firstRowLastColumn="0" w:lastRowFirstColumn="0" w:lastRowLastColumn="0"/>
          <w:tblHeader/>
        </w:trPr>
        <w:tc>
          <w:tcPr>
            <w:tcW w:w="0" w:type="auto"/>
          </w:tcPr>
          <w:p w14:paraId="41E78257" w14:textId="77777777" w:rsidR="00F610C4" w:rsidRDefault="00000000">
            <w:pPr>
              <w:pStyle w:val="Compact"/>
            </w:pPr>
            <w:r>
              <w:t>Session</w:t>
            </w:r>
          </w:p>
        </w:tc>
        <w:tc>
          <w:tcPr>
            <w:tcW w:w="0" w:type="auto"/>
          </w:tcPr>
          <w:p w14:paraId="69802BC1" w14:textId="77777777" w:rsidR="00F610C4" w:rsidRDefault="00000000">
            <w:pPr>
              <w:pStyle w:val="Compact"/>
            </w:pPr>
            <w:r>
              <w:t>Speakers</w:t>
            </w:r>
          </w:p>
        </w:tc>
        <w:tc>
          <w:tcPr>
            <w:tcW w:w="0" w:type="auto"/>
          </w:tcPr>
          <w:p w14:paraId="751B7762" w14:textId="77777777" w:rsidR="00F610C4" w:rsidRDefault="00000000">
            <w:pPr>
              <w:pStyle w:val="Compact"/>
            </w:pPr>
            <w:r>
              <w:t>Main contribution</w:t>
            </w:r>
          </w:p>
        </w:tc>
      </w:tr>
      <w:tr w:rsidR="00F610C4" w14:paraId="09F7E5E2" w14:textId="77777777">
        <w:tc>
          <w:tcPr>
            <w:tcW w:w="0" w:type="auto"/>
          </w:tcPr>
          <w:p w14:paraId="0F94B58F" w14:textId="77777777" w:rsidR="00F610C4" w:rsidRDefault="00000000">
            <w:pPr>
              <w:pStyle w:val="Compact"/>
            </w:pPr>
            <w:r>
              <w:t>1. Opening and keynote (Fri.)</w:t>
            </w:r>
          </w:p>
        </w:tc>
        <w:tc>
          <w:tcPr>
            <w:tcW w:w="0" w:type="auto"/>
          </w:tcPr>
          <w:p w14:paraId="5705E63F" w14:textId="77777777" w:rsidR="00F610C4" w:rsidRDefault="00000000">
            <w:pPr>
              <w:pStyle w:val="Compact"/>
            </w:pPr>
            <w:r>
              <w:t>Lessig, Farris, Jill Lepore</w:t>
            </w:r>
          </w:p>
        </w:tc>
        <w:tc>
          <w:tcPr>
            <w:tcW w:w="0" w:type="auto"/>
          </w:tcPr>
          <w:p w14:paraId="185EDAAD" w14:textId="77777777" w:rsidR="00F610C4" w:rsidRDefault="00000000">
            <w:pPr>
              <w:pStyle w:val="Compact"/>
            </w:pPr>
            <w:r>
              <w:t>The premise that the question is how to amend, not whether. Lepore’s history of the state convention tradition, its democratic and exclusionary results, and its collapse into “convention phobia.”</w:t>
            </w:r>
          </w:p>
        </w:tc>
      </w:tr>
      <w:tr w:rsidR="00F610C4" w14:paraId="7721FCC4" w14:textId="77777777">
        <w:tc>
          <w:tcPr>
            <w:tcW w:w="0" w:type="auto"/>
          </w:tcPr>
          <w:p w14:paraId="063ACA13" w14:textId="77777777" w:rsidR="00F610C4" w:rsidRDefault="00000000">
            <w:pPr>
              <w:pStyle w:val="Compact"/>
            </w:pPr>
            <w:r>
              <w:t>2. Saturday opening</w:t>
            </w:r>
          </w:p>
        </w:tc>
        <w:tc>
          <w:tcPr>
            <w:tcW w:w="0" w:type="auto"/>
          </w:tcPr>
          <w:p w14:paraId="1866EC82" w14:textId="77777777" w:rsidR="00F610C4" w:rsidRDefault="00000000">
            <w:pPr>
              <w:pStyle w:val="Compact"/>
            </w:pPr>
            <w:r>
              <w:t>Dean John Goldberg, Farris, Lessig</w:t>
            </w:r>
          </w:p>
        </w:tc>
        <w:tc>
          <w:tcPr>
            <w:tcW w:w="0" w:type="auto"/>
          </w:tcPr>
          <w:p w14:paraId="3F8BF425" w14:textId="77777777" w:rsidR="00F610C4" w:rsidRDefault="00000000">
            <w:pPr>
              <w:pStyle w:val="Compact"/>
            </w:pPr>
            <w:r>
              <w:t>Farris: Philadelphia obeyed its states’ instructions, so states can bind delegates. Lessig: the threat to ratification rules is unfounded; the scope question is real; bind delegates to citizens’ assemblies and organize a 13-state veto.</w:t>
            </w:r>
          </w:p>
        </w:tc>
      </w:tr>
      <w:tr w:rsidR="00F610C4" w14:paraId="3D36A59E" w14:textId="77777777">
        <w:tc>
          <w:tcPr>
            <w:tcW w:w="0" w:type="auto"/>
          </w:tcPr>
          <w:p w14:paraId="6DEAD66C" w14:textId="77777777" w:rsidR="00F610C4" w:rsidRDefault="00000000">
            <w:pPr>
              <w:pStyle w:val="Compact"/>
            </w:pPr>
            <w:r>
              <w:t>3. Origins</w:t>
            </w:r>
          </w:p>
        </w:tc>
        <w:tc>
          <w:tcPr>
            <w:tcW w:w="0" w:type="auto"/>
          </w:tcPr>
          <w:p w14:paraId="6530EABD" w14:textId="77777777" w:rsidR="00F610C4" w:rsidRDefault="00000000">
            <w:pPr>
              <w:pStyle w:val="Compact"/>
            </w:pPr>
            <w:r>
              <w:t>Farah Peterson, Rappaport, Levinson; moderator Richard Re</w:t>
            </w:r>
          </w:p>
        </w:tc>
        <w:tc>
          <w:tcPr>
            <w:tcW w:w="0" w:type="auto"/>
          </w:tcPr>
          <w:p w14:paraId="20AA3818" w14:textId="77777777" w:rsidR="00F610C4" w:rsidRDefault="00000000">
            <w:pPr>
              <w:pStyle w:val="Compact"/>
            </w:pPr>
            <w:r>
              <w:t>1787 was a legal rupture. Rappaport: the original meaning allows limited conventions and forbids runaways, but the fear is rational. Levinson: the Constitution is an existential risk. Peterson: structural amendments have unpredictable effects.</w:t>
            </w:r>
          </w:p>
        </w:tc>
      </w:tr>
      <w:tr w:rsidR="00F610C4" w14:paraId="63307587" w14:textId="77777777">
        <w:tc>
          <w:tcPr>
            <w:tcW w:w="0" w:type="auto"/>
          </w:tcPr>
          <w:p w14:paraId="747C8160" w14:textId="77777777" w:rsidR="00F610C4" w:rsidRDefault="00000000">
            <w:pPr>
              <w:pStyle w:val="Compact"/>
            </w:pPr>
            <w:r>
              <w:t>4. Coffee and conversation</w:t>
            </w:r>
          </w:p>
        </w:tc>
        <w:tc>
          <w:tcPr>
            <w:tcW w:w="0" w:type="auto"/>
          </w:tcPr>
          <w:p w14:paraId="677C3E0D" w14:textId="77777777" w:rsidR="00F610C4" w:rsidRDefault="00000000">
            <w:pPr>
              <w:pStyle w:val="Compact"/>
            </w:pPr>
            <w:r>
              <w:t>David Walker, Lessig</w:t>
            </w:r>
          </w:p>
        </w:tc>
        <w:tc>
          <w:tcPr>
            <w:tcW w:w="0" w:type="auto"/>
          </w:tcPr>
          <w:p w14:paraId="2465746E" w14:textId="77777777" w:rsidR="00F610C4" w:rsidRDefault="00000000">
            <w:pPr>
              <w:pStyle w:val="Compact"/>
            </w:pPr>
            <w:r>
              <w:t>The fiscal case and the comparative risk argument. Evidence from Walker’s deliberative forums with representative voters.</w:t>
            </w:r>
          </w:p>
        </w:tc>
      </w:tr>
      <w:tr w:rsidR="00F610C4" w14:paraId="7A394606" w14:textId="77777777">
        <w:tc>
          <w:tcPr>
            <w:tcW w:w="0" w:type="auto"/>
          </w:tcPr>
          <w:p w14:paraId="5519A684" w14:textId="77777777" w:rsidR="00F610C4" w:rsidRDefault="00000000">
            <w:pPr>
              <w:pStyle w:val="Compact"/>
            </w:pPr>
            <w:r>
              <w:t>5. The Grand Bargain</w:t>
            </w:r>
          </w:p>
        </w:tc>
        <w:tc>
          <w:tcPr>
            <w:tcW w:w="0" w:type="auto"/>
          </w:tcPr>
          <w:p w14:paraId="5415F410" w14:textId="77777777" w:rsidR="00F610C4" w:rsidRDefault="00000000">
            <w:pPr>
              <w:pStyle w:val="Compact"/>
            </w:pPr>
            <w:r>
              <w:t>Farris, Samuel Fieldman, Jim Rubens, Walker; moderator Guy-Uriel Charles</w:t>
            </w:r>
          </w:p>
        </w:tc>
        <w:tc>
          <w:tcPr>
            <w:tcW w:w="0" w:type="auto"/>
          </w:tcPr>
          <w:p w14:paraId="6940E90B" w14:textId="77777777" w:rsidR="00F610C4" w:rsidRDefault="00000000">
            <w:pPr>
              <w:pStyle w:val="Compact"/>
            </w:pPr>
            <w:r>
              <w:t xml:space="preserve">The campaigns agree on a “proof of concept” convention but not on a substantive bargain. Split over aggregating applications and suing Congress. Funding questions from </w:t>
            </w:r>
            <w:r>
              <w:lastRenderedPageBreak/>
              <w:t>the floor.</w:t>
            </w:r>
          </w:p>
        </w:tc>
      </w:tr>
      <w:tr w:rsidR="00F610C4" w14:paraId="6328ACB1" w14:textId="77777777">
        <w:tc>
          <w:tcPr>
            <w:tcW w:w="0" w:type="auto"/>
          </w:tcPr>
          <w:p w14:paraId="02405E20" w14:textId="77777777" w:rsidR="00F610C4" w:rsidRDefault="00000000">
            <w:pPr>
              <w:pStyle w:val="Compact"/>
            </w:pPr>
            <w:r>
              <w:lastRenderedPageBreak/>
              <w:t>6. Fireside chat</w:t>
            </w:r>
          </w:p>
        </w:tc>
        <w:tc>
          <w:tcPr>
            <w:tcW w:w="0" w:type="auto"/>
          </w:tcPr>
          <w:p w14:paraId="7A67B488" w14:textId="77777777" w:rsidR="00F610C4" w:rsidRDefault="00000000">
            <w:pPr>
              <w:pStyle w:val="Compact"/>
            </w:pPr>
            <w:r>
              <w:t>Gov. Chris Sununu, Lessig</w:t>
            </w:r>
          </w:p>
        </w:tc>
        <w:tc>
          <w:tcPr>
            <w:tcW w:w="0" w:type="auto"/>
          </w:tcPr>
          <w:p w14:paraId="7785CD7A" w14:textId="77777777" w:rsidR="00F610C4" w:rsidRDefault="00000000">
            <w:pPr>
              <w:pStyle w:val="Compact"/>
            </w:pPr>
            <w:r>
              <w:t>The convention as leverage on Congress. A path to 34 through partisan wins. Endorsement of an open convention and of ratification by states holding a minority of the population.</w:t>
            </w:r>
          </w:p>
        </w:tc>
      </w:tr>
      <w:tr w:rsidR="00F610C4" w14:paraId="4ED9A6B8" w14:textId="77777777">
        <w:tc>
          <w:tcPr>
            <w:tcW w:w="0" w:type="auto"/>
          </w:tcPr>
          <w:p w14:paraId="2A75E761" w14:textId="77777777" w:rsidR="00F610C4" w:rsidRDefault="00000000">
            <w:pPr>
              <w:pStyle w:val="Compact"/>
            </w:pPr>
            <w:r>
              <w:t>7. The Case Against</w:t>
            </w:r>
          </w:p>
        </w:tc>
        <w:tc>
          <w:tcPr>
            <w:tcW w:w="0" w:type="auto"/>
          </w:tcPr>
          <w:p w14:paraId="083A4F5B" w14:textId="77777777" w:rsidR="00F610C4" w:rsidRDefault="00000000">
            <w:pPr>
              <w:pStyle w:val="Compact"/>
            </w:pPr>
            <w:r>
              <w:t>Russ Feingold, Viki Harrison, David Super, Wilfred Codrington III; moderator Stephen Sachs</w:t>
            </w:r>
          </w:p>
        </w:tc>
        <w:tc>
          <w:tcPr>
            <w:tcW w:w="0" w:type="auto"/>
          </w:tcPr>
          <w:p w14:paraId="400304BD" w14:textId="77777777" w:rsidR="00F610C4" w:rsidRDefault="00000000">
            <w:pPr>
              <w:pStyle w:val="Compact"/>
            </w:pPr>
            <w:r>
              <w:t>The shift from scope to control: delegates chosen by legislatures, one state, one vote, money, and an opportunistic Supreme Court. Objections to the conference’s balance and tone.</w:t>
            </w:r>
          </w:p>
        </w:tc>
      </w:tr>
      <w:tr w:rsidR="00F610C4" w14:paraId="05B9AAD4" w14:textId="77777777">
        <w:tc>
          <w:tcPr>
            <w:tcW w:w="0" w:type="auto"/>
          </w:tcPr>
          <w:p w14:paraId="0EDDB571" w14:textId="77777777" w:rsidR="00F610C4" w:rsidRDefault="00000000">
            <w:pPr>
              <w:pStyle w:val="Compact"/>
            </w:pPr>
            <w:r>
              <w:t>8. Blueprints</w:t>
            </w:r>
          </w:p>
        </w:tc>
        <w:tc>
          <w:tcPr>
            <w:tcW w:w="0" w:type="auto"/>
          </w:tcPr>
          <w:p w14:paraId="6A86664C" w14:textId="77777777" w:rsidR="00F610C4" w:rsidRDefault="00000000">
            <w:pPr>
              <w:pStyle w:val="Compact"/>
            </w:pPr>
            <w:r>
              <w:t>Richard Albert, Jane Suiter, Katrín Oddsdóttir, Imani Daniel, David Guldenschuh; moderator Laura Weinrib</w:t>
            </w:r>
          </w:p>
        </w:tc>
        <w:tc>
          <w:tcPr>
            <w:tcW w:w="0" w:type="auto"/>
          </w:tcPr>
          <w:p w14:paraId="410F5EEE" w14:textId="77777777" w:rsidR="00F610C4" w:rsidRDefault="00000000">
            <w:pPr>
              <w:pStyle w:val="Compact"/>
            </w:pPr>
            <w:r>
              <w:t>Comparative evidence. Albert’s survey of 109 experts. Ireland and Iceland on sortition and binding. The Virgin Islands on rules and on territories. Guldenschuh on Phoenix.</w:t>
            </w:r>
          </w:p>
        </w:tc>
      </w:tr>
      <w:tr w:rsidR="00F610C4" w14:paraId="56F33638" w14:textId="77777777">
        <w:tc>
          <w:tcPr>
            <w:tcW w:w="0" w:type="auto"/>
          </w:tcPr>
          <w:p w14:paraId="3EDB3CBD" w14:textId="77777777" w:rsidR="00F610C4" w:rsidRDefault="00000000">
            <w:pPr>
              <w:pStyle w:val="Compact"/>
            </w:pPr>
            <w:r>
              <w:t>9. The Future</w:t>
            </w:r>
          </w:p>
        </w:tc>
        <w:tc>
          <w:tcPr>
            <w:tcW w:w="0" w:type="auto"/>
          </w:tcPr>
          <w:p w14:paraId="7BB60190" w14:textId="77777777" w:rsidR="00F610C4" w:rsidRDefault="00000000">
            <w:pPr>
              <w:pStyle w:val="Compact"/>
            </w:pPr>
            <w:r>
              <w:t>Hélène Landemore, Alice Siu, Nicholas Coccoma, Bruce Lee, William Fruth; moderator Archon Fung</w:t>
            </w:r>
          </w:p>
        </w:tc>
        <w:tc>
          <w:tcPr>
            <w:tcW w:w="0" w:type="auto"/>
          </w:tcPr>
          <w:p w14:paraId="1066E887" w14:textId="77777777" w:rsidR="00F610C4" w:rsidRDefault="00000000">
            <w:pPr>
              <w:pStyle w:val="Compact"/>
            </w:pPr>
            <w:r>
              <w:t>Sortition-based designs for a 2030 convention, rejected by its likely administrators. Lessig’s plan for parallel citizens’ assemblies.</w:t>
            </w:r>
          </w:p>
        </w:tc>
      </w:tr>
      <w:tr w:rsidR="00F610C4" w14:paraId="686FF6CD" w14:textId="77777777">
        <w:tc>
          <w:tcPr>
            <w:tcW w:w="0" w:type="auto"/>
          </w:tcPr>
          <w:p w14:paraId="4B73DE81" w14:textId="77777777" w:rsidR="00F610C4" w:rsidRDefault="00000000">
            <w:pPr>
              <w:pStyle w:val="Compact"/>
            </w:pPr>
            <w:r>
              <w:t>10. Dinner conversation</w:t>
            </w:r>
          </w:p>
        </w:tc>
        <w:tc>
          <w:tcPr>
            <w:tcW w:w="0" w:type="auto"/>
          </w:tcPr>
          <w:p w14:paraId="372BE4BD" w14:textId="77777777" w:rsidR="00F610C4" w:rsidRDefault="00000000">
            <w:pPr>
              <w:pStyle w:val="Compact"/>
            </w:pPr>
            <w:r>
              <w:t>Laurence Tribe, Lessig</w:t>
            </w:r>
          </w:p>
        </w:tc>
        <w:tc>
          <w:tcPr>
            <w:tcW w:w="0" w:type="auto"/>
          </w:tcPr>
          <w:p w14:paraId="29F2F363" w14:textId="77777777" w:rsidR="00F610C4" w:rsidRDefault="00000000">
            <w:pPr>
              <w:pStyle w:val="Compact"/>
            </w:pPr>
            <w:r>
              <w:t>A skeptic’s softened view. The remaining fear of capture. The “second convention” problem.</w:t>
            </w:r>
          </w:p>
        </w:tc>
      </w:tr>
    </w:tbl>
    <w:p w14:paraId="2A5C0E82" w14:textId="77777777" w:rsidR="00F610C4" w:rsidRDefault="00000000">
      <w:pPr>
        <w:pStyle w:val="Heading1"/>
      </w:pPr>
      <w:bookmarkStart w:id="2" w:name="how-the-debate-developed"/>
      <w:bookmarkEnd w:id="1"/>
      <w:r>
        <w:t>How the debate developed</w:t>
      </w:r>
    </w:p>
    <w:p w14:paraId="28A56A9E" w14:textId="77777777" w:rsidR="00F610C4" w:rsidRDefault="00000000">
      <w:pPr>
        <w:pStyle w:val="Heading2"/>
      </w:pPr>
      <w:bookmarkStart w:id="3" w:name="Xb92e43ae1f3d33332e20067da1a7be141a9f31d"/>
      <w:r>
        <w:t>History: a deep tradition, an abandoned habit (Sessions 1 to 3)</w:t>
      </w:r>
    </w:p>
    <w:p w14:paraId="6CF7FD9F" w14:textId="77777777" w:rsidR="00F610C4" w:rsidRDefault="00000000">
      <w:pPr>
        <w:pStyle w:val="FirstParagraph"/>
      </w:pPr>
      <w:r>
        <w:t>Jill Lepore’s keynote gave both sides material. Conventions are an American invention, and the states have held nearly 250 of them. They abolished property qualifications and made governors and judges elected. They also wrote “white” into suffrage laws. The threat of a federal convention moved Congress to propose the Seventeenth Amendment, and later campaigns against desegregation, against the reapportionment decisions, and for a balanced budget came within a few states of the threshold. Since the 1980s, fear of a runaway has spread from the federal to the state level, and Lepore said the “deliberative muscle” has atrophied. Her most pointed observation was that convention phobia rises and falls with partisan views of the Supreme Court.</w:t>
      </w:r>
    </w:p>
    <w:p w14:paraId="00C9AEE2" w14:textId="77777777" w:rsidR="00F610C4" w:rsidRDefault="00000000">
      <w:pPr>
        <w:pStyle w:val="BodyText"/>
      </w:pPr>
      <w:r>
        <w:t>Saturday morning’s opening remarks set the terms. Farris argued that the convention route was added by George Mason to check federal abuse Congress would never correct, and that the Philadelphia delegates obeyed their state commissions.</w:t>
      </w:r>
      <w:r>
        <w:rPr>
          <w:rStyle w:val="FootnoteReference"/>
        </w:rPr>
        <w:footnoteReference w:id="6"/>
      </w:r>
      <w:r>
        <w:t xml:space="preserve"> Lessig set aside the claim that a convention could rewrite the ratification rules and accepted that the real question is whether a convention could exceed its call. His answer was to bind delegates through state law, as </w:t>
      </w:r>
      <w:r>
        <w:rPr>
          <w:i/>
          <w:iCs/>
        </w:rPr>
        <w:t>Chiafalo</w:t>
      </w:r>
      <w:r>
        <w:t xml:space="preserve"> allowed states to bind presidential electors, to bind them to citizens’ assemblies rather than </w:t>
      </w:r>
      <w:r>
        <w:lastRenderedPageBreak/>
        <w:t>legislatures, and to organize thirteen states to reject any amendment produced without democratic safeguards.</w:t>
      </w:r>
    </w:p>
    <w:p w14:paraId="5446B9CA" w14:textId="77777777" w:rsidR="00F610C4" w:rsidRDefault="00000000">
      <w:pPr>
        <w:pStyle w:val="BodyText"/>
      </w:pPr>
      <w:r>
        <w:t>The history panel reframed 1787. Even the originalist on the panel treated Philadelphia as a revolution, so it neither proves nor disproves the risk of a runaway. Rappaport gave proponents their best legal argument and skeptics their key concession in the same breath: limited conventions are constitutional and runaways are not, “but that doesn’t eliminate the risk that they will occur.” He and Levinson also agreed with Lessig that an Article V convention sits between revolution and ordinary politics, and Rappaport added that even an unlimited Article V convention would be legitimate if it kept the ratification rules.</w:t>
      </w:r>
    </w:p>
    <w:p w14:paraId="3852623C" w14:textId="77777777" w:rsidR="00F610C4" w:rsidRDefault="00000000">
      <w:pPr>
        <w:pStyle w:val="Heading2"/>
      </w:pPr>
      <w:bookmarkStart w:id="4" w:name="X75d4232c09c0faa0fb7ffb56f8aa9b6b9297c73"/>
      <w:bookmarkEnd w:id="3"/>
      <w:r>
        <w:t>The movement: proof of concept, no bargain (Sessions 4 to 6)</w:t>
      </w:r>
    </w:p>
    <w:p w14:paraId="4B8F73A9" w14:textId="77777777" w:rsidR="00F610C4" w:rsidRDefault="00000000">
      <w:pPr>
        <w:pStyle w:val="FirstParagraph"/>
      </w:pPr>
      <w:r>
        <w:t>The midday sessions showed the movement as it is. David Walker made the comparative argument: a convention’s risks are small next to a fiscal crisis he called potentially “cataclysmic.” His forums with representative voters, run with Alice Rivlin, produced 77 to 97 percent support for specific fiscal reforms, which Lessig noted is the kind of evidence his citizens’-assembly proposal relies on.</w:t>
      </w:r>
    </w:p>
    <w:p w14:paraId="5954E865" w14:textId="77777777" w:rsidR="00F610C4" w:rsidRDefault="00000000">
      <w:pPr>
        <w:pStyle w:val="BodyText"/>
      </w:pPr>
      <w:r>
        <w:t>The Grand Bargain panel found that the campaigns agree that Congress has a conflict of interest on their amendments, that public support for term limits, limits on campaign money, and fiscal restraint is broad, and that the movement’s first task is a convention that stays on topic. They did not agree on a bargain. Lessig proposed starting with amendments “nobody in America is afraid” of, term limits or money in politics, to build confidence. The fiscal campaigns, which are closest to 34, declined. The panel also exposed a split over counting. Walker and Rubens count plenary and fiscal applications together to argue that Congress has been obliged to call a convention since 1979, and seek a state attorney general to sue. Farris rejects that approach, warning that the same counting would trigger conventions on abortion and state senate apportionment.</w:t>
      </w:r>
    </w:p>
    <w:p w14:paraId="296447E7" w14:textId="77777777" w:rsidR="00F610C4" w:rsidRDefault="00000000">
      <w:pPr>
        <w:pStyle w:val="BodyText"/>
      </w:pPr>
      <w:r>
        <w:t>Governor Sununu was candid that he hopes Congress acts before a convention is needed and that he would take a weaker congressional amendment. He agreed with Lessig’s sequencing “in principle” and said the fiscal campaign would not slow down. From the floor, he endorsed an open convention, accepted ratification by states holding perhaps 40 percent of Americans, and said he was open to repealing the Seventeenth Amendment.</w:t>
      </w:r>
    </w:p>
    <w:p w14:paraId="07274143" w14:textId="77777777" w:rsidR="00F610C4" w:rsidRDefault="00000000">
      <w:pPr>
        <w:pStyle w:val="Heading2"/>
      </w:pPr>
      <w:bookmarkStart w:id="5" w:name="X9d4c05b2f2fff3b9990a53dede55afb2a54b850"/>
      <w:bookmarkEnd w:id="4"/>
      <w:r>
        <w:t>The case against: from scope to control (Session 7)</w:t>
      </w:r>
    </w:p>
    <w:p w14:paraId="07FF60BD" w14:textId="77777777" w:rsidR="00F610C4" w:rsidRDefault="00000000">
      <w:pPr>
        <w:pStyle w:val="FirstParagraph"/>
      </w:pPr>
      <w:r>
        <w:t>The skeptics accepted that the Constitution needs amendment and largely set the runaway question aside. Feingold, co-author of the leading book against a convention,</w:t>
      </w:r>
      <w:r>
        <w:rPr>
          <w:rStyle w:val="FootnoteReference"/>
        </w:rPr>
        <w:footnoteReference w:id="7"/>
      </w:r>
      <w:r>
        <w:t xml:space="preserve"> described a movement organized and funded on the right, citing Convention of States simulations that endorsed a state power to override federal law. Harrison said her core objection is that Article V has no rules. Super called the convention “forum shopping” that would move power from Congress to state legislatures, which choose delegates in nearly every state and which </w:t>
      </w:r>
      <w:r>
        <w:lastRenderedPageBreak/>
        <w:t>Republicans control, and argued that a balanced budget amendment would cripple the federal response to recessions. Codrington argued that the gravest danger is a Supreme Court that would intervene opportunistically in a process the Constitution leaves to politics. In their place, the panel favored building a cross-partisan movement first and amending Article V to require elected delegates, enforceable limits, and popular votes.</w:t>
      </w:r>
    </w:p>
    <w:p w14:paraId="6B2EEB61" w14:textId="77777777" w:rsidR="00F610C4" w:rsidRDefault="00000000">
      <w:pPr>
        <w:pStyle w:val="BodyText"/>
      </w:pPr>
      <w:r>
        <w:t>Feingold and Harrison also challenged the conference itself, Feingold calling it “a workshop to promote a constitutional convention” and Harrison objecting that opponents had been called “fearmongers” and worse more than ten times.</w:t>
      </w:r>
    </w:p>
    <w:p w14:paraId="0208D557" w14:textId="77777777" w:rsidR="00F610C4" w:rsidRDefault="00000000">
      <w:pPr>
        <w:pStyle w:val="Heading2"/>
      </w:pPr>
      <w:bookmarkStart w:id="6" w:name="X5c528f3d07ebe93463b8319919a1247c13f81cd"/>
      <w:bookmarkEnd w:id="5"/>
      <w:r>
        <w:t>Design: answers to the skeptics, and who will adopt them (Sessions 8 and 9)</w:t>
      </w:r>
    </w:p>
    <w:p w14:paraId="27ED09B4" w14:textId="77777777" w:rsidR="00F610C4" w:rsidRDefault="00000000">
      <w:pPr>
        <w:pStyle w:val="FirstParagraph"/>
      </w:pPr>
      <w:r>
        <w:t>The comparative panel showed what Article V lacks.</w:t>
      </w:r>
      <w:r>
        <w:rPr>
          <w:rStyle w:val="FootnoteReference"/>
        </w:rPr>
        <w:footnoteReference w:id="8"/>
      </w:r>
      <w:r>
        <w:t xml:space="preserve"> Albert’s survey found that experts want convention rules enacted in advance, protected seats for minorities, and a popular vote on the result, and that 86 percent consider a constitution that leaves delegate selection unspecified to be defective. Seventy-one percent said paper safeguards alone cannot make a convention safe in a polarized society. Ireland showed that randomly selected assemblies work when there is an unbroken chain from their recommendation to a popular vote. Iceland showed what happens without one: a crowdsourced constitution approved in a referendum and then shelved. Oddsdóttir’s advice was to “bind the delegates to the people, not the legislator.” Suiter endorsed Lessig’s core idea and proposed two additions: a citizens’ verdict on the final text and citizen delegates at the convention. Guldenschuh offered the 2017 Phoenix planning convention as proof that a convention of states can stay on topic, and a three-week blueprint for a real one.</w:t>
      </w:r>
    </w:p>
    <w:p w14:paraId="4B9A007B" w14:textId="77777777" w:rsidR="00F610C4" w:rsidRDefault="00000000">
      <w:pPr>
        <w:pStyle w:val="BodyText"/>
      </w:pPr>
      <w:r>
        <w:t>The final panel tested whether any design could satisfy the skeptics. Landemore, Siu, and Coccoma offered sortition at every stage: state assemblies that send delegates by lot and set red lines, a self-governing convention, or a national jury-like body of 500 citizens that would include the territories and tribes. Bruce Lee of the National Federalism Commission and William Fruth of the balanced budget campaign said legislatures will choose their delegates and will choose experts committed to the rules; Fruth called the capture concern “fantasy.” Lessig, from the floor, said there is “zero chance” legislatures will choose delegates by lot, and proposed running citizens’ assemblies in parallel to the legislative process to build a movement capable of a thirteen-state veto.</w:t>
      </w:r>
    </w:p>
    <w:p w14:paraId="6E11411A" w14:textId="77777777" w:rsidR="00F610C4" w:rsidRDefault="00000000">
      <w:pPr>
        <w:pStyle w:val="Heading2"/>
      </w:pPr>
      <w:bookmarkStart w:id="7" w:name="coda-tribe-session-10"/>
      <w:bookmarkEnd w:id="6"/>
      <w:r>
        <w:t>Coda: Tribe (Session 10)</w:t>
      </w:r>
    </w:p>
    <w:p w14:paraId="26FB7B28" w14:textId="77777777" w:rsidR="00F610C4" w:rsidRDefault="00000000">
      <w:pPr>
        <w:pStyle w:val="FirstParagraph"/>
      </w:pPr>
      <w:r>
        <w:t>Laurence Tribe said his old fear, that courts would not stop a runaway, has mostly faded. His remaining fear is capture by money, now including great technology fortunes, and the use of a convention as “a Trojan horse.” He posed the hardest strategic question of the conference: if a first convention succeeds and makes conventions routine, what stops the well-funded from calling the next one? He agreed it would be malpractice not to plan for a convention that may come regardless, and ended on common ground about the capacity of ordinary citizens to deliberate.</w:t>
      </w:r>
    </w:p>
    <w:p w14:paraId="18B078FD" w14:textId="77777777" w:rsidR="00F610C4" w:rsidRDefault="00000000">
      <w:pPr>
        <w:pStyle w:val="Heading1"/>
      </w:pPr>
      <w:bookmarkStart w:id="8" w:name="where-the-main-questions-ended"/>
      <w:bookmarkEnd w:id="2"/>
      <w:bookmarkEnd w:id="7"/>
      <w:r>
        <w:lastRenderedPageBreak/>
        <w:t>Where the main questions ended</w:t>
      </w:r>
    </w:p>
    <w:tbl>
      <w:tblPr>
        <w:tblStyle w:val="Table"/>
        <w:tblW w:w="5000" w:type="pct"/>
        <w:tblLook w:val="0020" w:firstRow="1" w:lastRow="0" w:firstColumn="0" w:lastColumn="0" w:noHBand="0" w:noVBand="0"/>
      </w:tblPr>
      <w:tblGrid>
        <w:gridCol w:w="1786"/>
        <w:gridCol w:w="7774"/>
      </w:tblGrid>
      <w:tr w:rsidR="00F610C4" w14:paraId="4972F186" w14:textId="77777777" w:rsidTr="00F610C4">
        <w:trPr>
          <w:cnfStyle w:val="100000000000" w:firstRow="1" w:lastRow="0" w:firstColumn="0" w:lastColumn="0" w:oddVBand="0" w:evenVBand="0" w:oddHBand="0" w:evenHBand="0" w:firstRowFirstColumn="0" w:firstRowLastColumn="0" w:lastRowFirstColumn="0" w:lastRowLastColumn="0"/>
          <w:tblHeader/>
        </w:trPr>
        <w:tc>
          <w:tcPr>
            <w:tcW w:w="0" w:type="auto"/>
          </w:tcPr>
          <w:p w14:paraId="451E3204" w14:textId="77777777" w:rsidR="00F610C4" w:rsidRDefault="00000000">
            <w:pPr>
              <w:pStyle w:val="Compact"/>
            </w:pPr>
            <w:r>
              <w:t>Question</w:t>
            </w:r>
          </w:p>
        </w:tc>
        <w:tc>
          <w:tcPr>
            <w:tcW w:w="0" w:type="auto"/>
          </w:tcPr>
          <w:p w14:paraId="32718E75" w14:textId="77777777" w:rsidR="00F610C4" w:rsidRDefault="00000000">
            <w:pPr>
              <w:pStyle w:val="Compact"/>
            </w:pPr>
            <w:r>
              <w:t>Where it ended</w:t>
            </w:r>
          </w:p>
        </w:tc>
      </w:tr>
      <w:tr w:rsidR="00F610C4" w14:paraId="3BD852DE" w14:textId="77777777">
        <w:tc>
          <w:tcPr>
            <w:tcW w:w="0" w:type="auto"/>
          </w:tcPr>
          <w:p w14:paraId="59A88568" w14:textId="77777777" w:rsidR="00F610C4" w:rsidRDefault="00000000">
            <w:pPr>
              <w:pStyle w:val="Compact"/>
            </w:pPr>
            <w:r>
              <w:t>Is the convention route legitimate?</w:t>
            </w:r>
          </w:p>
        </w:tc>
        <w:tc>
          <w:tcPr>
            <w:tcW w:w="0" w:type="auto"/>
          </w:tcPr>
          <w:p w14:paraId="3112DDEB" w14:textId="77777777" w:rsidR="00F610C4" w:rsidRDefault="00000000">
            <w:pPr>
              <w:pStyle w:val="Compact"/>
            </w:pPr>
            <w:r>
              <w:t>Agreed by nearly all. Skeptics argued the route is legitimate but now “manipulated and malapportioned.” Rappaport and Levinson would accept even an unlimited Article V convention.</w:t>
            </w:r>
          </w:p>
        </w:tc>
      </w:tr>
      <w:tr w:rsidR="00F610C4" w14:paraId="272C7ADC" w14:textId="77777777">
        <w:tc>
          <w:tcPr>
            <w:tcW w:w="0" w:type="auto"/>
          </w:tcPr>
          <w:p w14:paraId="74EFE7F6" w14:textId="77777777" w:rsidR="00F610C4" w:rsidRDefault="00000000">
            <w:pPr>
              <w:pStyle w:val="Compact"/>
            </w:pPr>
            <w:r>
              <w:t>Can a convention be held to its subject?</w:t>
            </w:r>
          </w:p>
        </w:tc>
        <w:tc>
          <w:tcPr>
            <w:tcW w:w="0" w:type="auto"/>
          </w:tcPr>
          <w:p w14:paraId="32A2B5FD" w14:textId="77777777" w:rsidR="00F610C4" w:rsidRDefault="00000000">
            <w:pPr>
              <w:pStyle w:val="Compact"/>
            </w:pPr>
            <w:r>
              <w:t>Legally yes, by most accounts. In practice uncertain, as Rappaport and Albert’s experts said. Proponents rely on subject-limited applications, faithful delegate laws in 17 states, a proposed compact effective at 26 states, and convention rules. Skeptics call these paper safeguards and note that penalties come after the damage.</w:t>
            </w:r>
          </w:p>
        </w:tc>
      </w:tr>
      <w:tr w:rsidR="00F610C4" w14:paraId="18A878AA" w14:textId="77777777">
        <w:tc>
          <w:tcPr>
            <w:tcW w:w="0" w:type="auto"/>
          </w:tcPr>
          <w:p w14:paraId="70721C7D" w14:textId="77777777" w:rsidR="00F610C4" w:rsidRDefault="00000000">
            <w:pPr>
              <w:pStyle w:val="Compact"/>
            </w:pPr>
            <w:r>
              <w:t>When have 34 states applied?</w:t>
            </w:r>
          </w:p>
        </w:tc>
        <w:tc>
          <w:tcPr>
            <w:tcW w:w="0" w:type="auto"/>
          </w:tcPr>
          <w:p w14:paraId="64BBEE0E" w14:textId="77777777" w:rsidR="00F610C4" w:rsidRDefault="00000000">
            <w:pPr>
              <w:pStyle w:val="Compact"/>
            </w:pPr>
            <w:r>
              <w:t>Unresolved and divisive. Some proponents count plenary and fiscal applications together to find 34 in 1979 and in 2016 to 2017. Farris and the skeptics reject aggregation. Super said that logic would mean the threshold was met in 1911.</w:t>
            </w:r>
          </w:p>
        </w:tc>
      </w:tr>
      <w:tr w:rsidR="00F610C4" w14:paraId="2F613AD0" w14:textId="77777777">
        <w:tc>
          <w:tcPr>
            <w:tcW w:w="0" w:type="auto"/>
          </w:tcPr>
          <w:p w14:paraId="1229C29D" w14:textId="77777777" w:rsidR="00F610C4" w:rsidRDefault="00000000">
            <w:pPr>
              <w:pStyle w:val="Compact"/>
            </w:pPr>
            <w:r>
              <w:t>Who chooses the delegates?</w:t>
            </w:r>
          </w:p>
        </w:tc>
        <w:tc>
          <w:tcPr>
            <w:tcW w:w="0" w:type="auto"/>
          </w:tcPr>
          <w:p w14:paraId="671BC4FE" w14:textId="77777777" w:rsidR="00F610C4" w:rsidRDefault="00000000">
            <w:pPr>
              <w:pStyle w:val="Compact"/>
            </w:pPr>
            <w:r>
              <w:t>The sharpest divide. Legislatures choose in nearly every state under current law. Sortition advocates proposed alternatives. The likely administrators rejected them, and Lessig conceded legislatures will not adopt sortition.</w:t>
            </w:r>
          </w:p>
        </w:tc>
      </w:tr>
      <w:tr w:rsidR="00F610C4" w14:paraId="3FAC77D4" w14:textId="77777777">
        <w:tc>
          <w:tcPr>
            <w:tcW w:w="0" w:type="auto"/>
          </w:tcPr>
          <w:p w14:paraId="4019FEAD" w14:textId="77777777" w:rsidR="00F610C4" w:rsidRDefault="00000000">
            <w:pPr>
              <w:pStyle w:val="Compact"/>
            </w:pPr>
            <w:r>
              <w:t>How are votes allocated?</w:t>
            </w:r>
          </w:p>
        </w:tc>
        <w:tc>
          <w:tcPr>
            <w:tcW w:w="0" w:type="auto"/>
          </w:tcPr>
          <w:p w14:paraId="404C06C5" w14:textId="77777777" w:rsidR="00F610C4" w:rsidRDefault="00000000">
            <w:pPr>
              <w:pStyle w:val="Compact"/>
            </w:pPr>
            <w:r>
              <w:t>Proponents assume one state, one vote. Skeptics said that gives a durable majority of delegations to one party. Alternatives ranged from 15 to 25 delegates per state to a single national body chosen by lot.</w:t>
            </w:r>
          </w:p>
        </w:tc>
      </w:tr>
      <w:tr w:rsidR="00F610C4" w14:paraId="19E3043D" w14:textId="77777777">
        <w:tc>
          <w:tcPr>
            <w:tcW w:w="0" w:type="auto"/>
          </w:tcPr>
          <w:p w14:paraId="567DC5B3" w14:textId="77777777" w:rsidR="00F610C4" w:rsidRDefault="00000000">
            <w:pPr>
              <w:pStyle w:val="Compact"/>
            </w:pPr>
            <w:r>
              <w:t>Could money capture a convention?</w:t>
            </w:r>
          </w:p>
        </w:tc>
        <w:tc>
          <w:tcPr>
            <w:tcW w:w="0" w:type="auto"/>
          </w:tcPr>
          <w:p w14:paraId="32163B05" w14:textId="77777777" w:rsidR="00F610C4" w:rsidRDefault="00000000">
            <w:pPr>
              <w:pStyle w:val="Compact"/>
            </w:pPr>
            <w:r>
              <w:t>Raised from the floor in the morning, pressed by the skeptics, and named by Tribe as his main fear. Proponents disputed it or pointed to compliance with disclosure law. Sortition is the only structural answer offered.</w:t>
            </w:r>
          </w:p>
        </w:tc>
      </w:tr>
      <w:tr w:rsidR="00F610C4" w14:paraId="76412AEA" w14:textId="77777777">
        <w:tc>
          <w:tcPr>
            <w:tcW w:w="0" w:type="auto"/>
          </w:tcPr>
          <w:p w14:paraId="35264E56" w14:textId="77777777" w:rsidR="00F610C4" w:rsidRDefault="00000000">
            <w:pPr>
              <w:pStyle w:val="Compact"/>
            </w:pPr>
            <w:r>
              <w:t>Who resolves disputes?</w:t>
            </w:r>
          </w:p>
        </w:tc>
        <w:tc>
          <w:tcPr>
            <w:tcW w:w="0" w:type="auto"/>
          </w:tcPr>
          <w:p w14:paraId="1997F93C" w14:textId="77777777" w:rsidR="00F610C4" w:rsidRDefault="00000000">
            <w:pPr>
              <w:pStyle w:val="Compact"/>
            </w:pPr>
            <w:r>
              <w:t xml:space="preserve">Unresolved. Proponents rely on courts to enforce Article V’s text and uphold binding laws, but also on courts staying out under </w:t>
            </w:r>
            <w:r>
              <w:rPr>
                <w:i/>
                <w:iCs/>
              </w:rPr>
              <w:t>Coleman v. Miller</w:t>
            </w:r>
            <w:r>
              <w:t>. Codrington called an opportunistic Court the greatest danger. Guldenschuh’s claim that the Court has endorsed founding-era practice was challenged and not supported.</w:t>
            </w:r>
          </w:p>
        </w:tc>
      </w:tr>
      <w:tr w:rsidR="00F610C4" w14:paraId="2B87178A" w14:textId="77777777">
        <w:tc>
          <w:tcPr>
            <w:tcW w:w="0" w:type="auto"/>
          </w:tcPr>
          <w:p w14:paraId="3D185515" w14:textId="77777777" w:rsidR="00F610C4" w:rsidRDefault="00000000">
            <w:pPr>
              <w:pStyle w:val="Compact"/>
            </w:pPr>
            <w:r>
              <w:t>Is ratification by 38 states enough?</w:t>
            </w:r>
          </w:p>
        </w:tc>
        <w:tc>
          <w:tcPr>
            <w:tcW w:w="0" w:type="auto"/>
          </w:tcPr>
          <w:p w14:paraId="6984ED0E" w14:textId="77777777" w:rsidR="00F610C4" w:rsidRDefault="00000000">
            <w:pPr>
              <w:pStyle w:val="Compact"/>
            </w:pPr>
            <w:r>
              <w:t>Proponents called it decisive. Skeptics noted gerrymandered legislatures, the political difficulty of defeating a balanced budget amendment once proposed, and that 38 states may hold about 40 percent of the population. Several speakers favored ratification by state conventions, ideally composed by lot.</w:t>
            </w:r>
          </w:p>
        </w:tc>
      </w:tr>
      <w:tr w:rsidR="00F610C4" w14:paraId="20AD2EA9" w14:textId="77777777">
        <w:tc>
          <w:tcPr>
            <w:tcW w:w="0" w:type="auto"/>
          </w:tcPr>
          <w:p w14:paraId="789EE0B9" w14:textId="77777777" w:rsidR="00F610C4" w:rsidRDefault="00000000">
            <w:pPr>
              <w:pStyle w:val="Compact"/>
            </w:pPr>
            <w:r>
              <w:t>What should a first convention address?</w:t>
            </w:r>
          </w:p>
        </w:tc>
        <w:tc>
          <w:tcPr>
            <w:tcW w:w="0" w:type="auto"/>
          </w:tcPr>
          <w:p w14:paraId="02200003" w14:textId="77777777" w:rsidR="00F610C4" w:rsidRDefault="00000000">
            <w:pPr>
              <w:pStyle w:val="Compact"/>
            </w:pPr>
            <w:r>
              <w:t>Fiscal campaigns want fiscal first. Lessig proposed term limits or money in politics, which no one fears. Tribe asked what stops the second convention.</w:t>
            </w:r>
          </w:p>
        </w:tc>
      </w:tr>
      <w:tr w:rsidR="00F610C4" w14:paraId="3CD792A1" w14:textId="77777777">
        <w:tc>
          <w:tcPr>
            <w:tcW w:w="0" w:type="auto"/>
          </w:tcPr>
          <w:p w14:paraId="2EE3CC62" w14:textId="77777777" w:rsidR="00F610C4" w:rsidRDefault="00000000">
            <w:pPr>
              <w:pStyle w:val="Compact"/>
            </w:pPr>
            <w:r>
              <w:t>What about tribes and territories?</w:t>
            </w:r>
          </w:p>
        </w:tc>
        <w:tc>
          <w:tcPr>
            <w:tcW w:w="0" w:type="auto"/>
          </w:tcPr>
          <w:p w14:paraId="7424A4EA" w14:textId="77777777" w:rsidR="00F610C4" w:rsidRDefault="00000000">
            <w:pPr>
              <w:pStyle w:val="Compact"/>
            </w:pPr>
            <w:r>
              <w:t>Raised by a Native American questioner and by Daniel. No proponent answered except Coccoma, whose national body would include them.</w:t>
            </w:r>
          </w:p>
        </w:tc>
      </w:tr>
      <w:tr w:rsidR="00F610C4" w14:paraId="6F505D42" w14:textId="77777777">
        <w:tc>
          <w:tcPr>
            <w:tcW w:w="0" w:type="auto"/>
          </w:tcPr>
          <w:p w14:paraId="3520FA70" w14:textId="77777777" w:rsidR="00F610C4" w:rsidRDefault="00000000">
            <w:pPr>
              <w:pStyle w:val="Compact"/>
            </w:pPr>
            <w:r>
              <w:t>Should Article V be amended first?</w:t>
            </w:r>
          </w:p>
        </w:tc>
        <w:tc>
          <w:tcPr>
            <w:tcW w:w="0" w:type="auto"/>
          </w:tcPr>
          <w:p w14:paraId="4D346D42" w14:textId="77777777" w:rsidR="00F610C4" w:rsidRDefault="00000000">
            <w:pPr>
              <w:pStyle w:val="Compact"/>
            </w:pPr>
            <w:r>
              <w:t>Praised by skeptics, proponents, and Tribe. No organization is pursuing it, and Lessig said no movement can be built for it.</w:t>
            </w:r>
          </w:p>
        </w:tc>
      </w:tr>
    </w:tbl>
    <w:p w14:paraId="79169679" w14:textId="77777777" w:rsidR="00F610C4" w:rsidRDefault="00000000">
      <w:pPr>
        <w:pStyle w:val="Heading1"/>
      </w:pPr>
      <w:bookmarkStart w:id="9" w:name="points-of-agreement"/>
      <w:bookmarkEnd w:id="8"/>
      <w:r>
        <w:t>Points of agreement</w:t>
      </w:r>
    </w:p>
    <w:p w14:paraId="72979691" w14:textId="77777777" w:rsidR="00F610C4" w:rsidRDefault="00000000">
      <w:pPr>
        <w:pStyle w:val="FirstParagraph"/>
      </w:pPr>
      <w:r>
        <w:t xml:space="preserve">The conference found more common ground than its sharpest exchanges suggest. Nearly everyone agreed that the Constitution needs amendment, that amendment has stalled for half a century, and that Congress has a conflict of interest on amendments that limit its own power or its members’ tenure. Nearly everyone agreed that term limits, limits on money in politics, and </w:t>
      </w:r>
      <w:r>
        <w:lastRenderedPageBreak/>
        <w:t>fiscal restraint have broad cross-partisan support. Proponents and skeptics alike agreed that Article V’s text leaves the key questions open, that rules should be settled before a convention is called, and that amending Article V would be desirable in principle. And speakers across the spectrum, from Walker’s fiscal forums to Tribe’s work in the Marshall Islands, reported that ordinary citizens deliberate well when given time, information, and a well-designed process.</w:t>
      </w:r>
    </w:p>
    <w:p w14:paraId="3C782732" w14:textId="77777777" w:rsidR="00F610C4" w:rsidRDefault="00000000">
      <w:pPr>
        <w:pStyle w:val="Heading1"/>
      </w:pPr>
      <w:bookmarkStart w:id="10" w:name="problems-in-the-competing-cases"/>
      <w:bookmarkEnd w:id="9"/>
      <w:r>
        <w:t>Problems in the competing cases</w:t>
      </w:r>
    </w:p>
    <w:p w14:paraId="68848001" w14:textId="77777777" w:rsidR="00F610C4" w:rsidRDefault="00000000">
      <w:pPr>
        <w:pStyle w:val="FirstParagraph"/>
      </w:pPr>
      <w:r>
        <w:t>The summaries have flagged weaknesses on both sides as they appeared. They are collected here because they define the work that remains.</w:t>
      </w:r>
    </w:p>
    <w:p w14:paraId="3E2F9435" w14:textId="77777777" w:rsidR="00F610C4" w:rsidRDefault="00000000">
      <w:pPr>
        <w:pStyle w:val="Heading2"/>
      </w:pPr>
      <w:bookmarkStart w:id="11" w:name="X1e874219acbf314993978814eac7a891bc57885"/>
      <w:r>
        <w:t>In the case for a convention, including Lessig’s strategy</w:t>
      </w:r>
    </w:p>
    <w:p w14:paraId="42559A08" w14:textId="77777777" w:rsidR="00F610C4" w:rsidRDefault="00000000">
      <w:pPr>
        <w:pStyle w:val="FirstParagraph"/>
      </w:pPr>
      <w:r>
        <w:rPr>
          <w:b/>
          <w:bCs/>
        </w:rPr>
        <w:t>The counting argument undercuts the safety argument.</w:t>
      </w:r>
      <w:r>
        <w:t xml:space="preserve"> Proponents promise safety because applications define and limit a convention’s subject. The litigation strategy seeks to reach 34 by counting broad and old applications together with fiscal ones. Both cannot carry full weight. Farris, the movement’s most experienced Article V litigator, rejected aggregation; Harrison and Super pressed the contradiction.</w:t>
      </w:r>
    </w:p>
    <w:p w14:paraId="69030A82" w14:textId="77777777" w:rsidR="00F610C4" w:rsidRDefault="00000000">
      <w:pPr>
        <w:pStyle w:val="BodyText"/>
      </w:pPr>
      <w:r>
        <w:rPr>
          <w:b/>
          <w:bCs/>
        </w:rPr>
        <w:t>The strategy depends on courts in incompatible ways.</w:t>
      </w:r>
      <w:r>
        <w:t xml:space="preserve"> Proponents need courts to enforce Article V’s ratification rules, to uphold state laws binding delegates, and perhaps to treat runaway proposals as nullities. They also cite the view, stated by four Justices in </w:t>
      </w:r>
      <w:r>
        <w:rPr>
          <w:i/>
          <w:iCs/>
        </w:rPr>
        <w:t>Coleman v. Miller</w:t>
      </w:r>
      <w:r>
        <w:t>, that the amendment process is political and beyond judicial control.</w:t>
      </w:r>
      <w:r>
        <w:rPr>
          <w:rStyle w:val="FootnoteReference"/>
        </w:rPr>
        <w:footnoteReference w:id="9"/>
      </w:r>
      <w:r>
        <w:t xml:space="preserve"> Codrington’s argument that the current Court is opportunistic applies to both sides of that reliance.</w:t>
      </w:r>
    </w:p>
    <w:p w14:paraId="34B702C1" w14:textId="77777777" w:rsidR="00F610C4" w:rsidRDefault="00000000">
      <w:pPr>
        <w:pStyle w:val="BodyText"/>
      </w:pPr>
      <w:r>
        <w:rPr>
          <w:b/>
          <w:bCs/>
        </w:rPr>
        <w:t xml:space="preserve">The </w:t>
      </w:r>
      <w:r>
        <w:rPr>
          <w:b/>
          <w:bCs/>
          <w:i/>
          <w:iCs/>
        </w:rPr>
        <w:t>Chiafalo</w:t>
      </w:r>
      <w:r>
        <w:rPr>
          <w:b/>
          <w:bCs/>
        </w:rPr>
        <w:t xml:space="preserve"> analogy has a textual gap.</w:t>
      </w:r>
      <w:r>
        <w:t xml:space="preserve"> The Court in </w:t>
      </w:r>
      <w:r>
        <w:rPr>
          <w:i/>
          <w:iCs/>
        </w:rPr>
        <w:t>Chiafalo</w:t>
      </w:r>
      <w:r>
        <w:t xml:space="preserve"> relied on Article II’s grant to state legislatures of power to direct the manner of appointing electors, and on a long history of pledged electors. Article V says nothing comparable about convention delegates. The inference that a power to choose includes a power to bind is plausible but untested.</w:t>
      </w:r>
    </w:p>
    <w:p w14:paraId="6BF184AC" w14:textId="77777777" w:rsidR="00F610C4" w:rsidRDefault="00000000">
      <w:pPr>
        <w:pStyle w:val="BodyText"/>
      </w:pPr>
      <w:r>
        <w:rPr>
          <w:b/>
          <w:bCs/>
        </w:rPr>
        <w:t>The people-centered safeguard has no legal path.</w:t>
      </w:r>
      <w:r>
        <w:t xml:space="preserve"> The citizens’-assembly proposal is the strongest answer to the skeptics’ central objection, because it changes who decides rather than adding safeguards around legislators who decide. But binding delegates to assemblies requires legislatures to legislate it, and Lessig conceded they will not adopt sortition. Parallel assemblies would be advisory, and Iceland showed how easily advisory citizen work is shelved. The thirteen-state veto also requires thirteen legislatures to commit in advance. The proposal currently depends on a movement that does not yet exist.</w:t>
      </w:r>
    </w:p>
    <w:p w14:paraId="2B7B9D2B" w14:textId="77777777" w:rsidR="00F610C4" w:rsidRDefault="00000000">
      <w:pPr>
        <w:pStyle w:val="BodyText"/>
      </w:pPr>
      <w:r>
        <w:rPr>
          <w:b/>
          <w:bCs/>
        </w:rPr>
        <w:t>The sequencing problem is real and unsolved.</w:t>
      </w:r>
      <w:r>
        <w:t xml:space="preserve"> Lessig’s argument for starting with amendments no one fears was persuasive in the room, and Sununu called it “correct.” But the fiscal campaign is closest to 34 and will not wait. A first convention, if one comes soon, is likely to be the one many people most fear, with delegates chosen by legislatures. Tribe’s second-convention question compounds this: a successful proof of concept normalizes the tool for whoever can organize 34 legislatures next.</w:t>
      </w:r>
    </w:p>
    <w:p w14:paraId="404936A4" w14:textId="77777777" w:rsidR="00F610C4" w:rsidRDefault="00000000">
      <w:pPr>
        <w:pStyle w:val="BodyText"/>
      </w:pPr>
      <w:r>
        <w:rPr>
          <w:b/>
          <w:bCs/>
        </w:rPr>
        <w:lastRenderedPageBreak/>
        <w:t>The coalition sends mixed messages.</w:t>
      </w:r>
      <w:r>
        <w:t xml:space="preserve"> Some proponents sell a narrow, limited convention; others, including Sununu and some audience members, would accept an open one. Some describe the campaign as a path to a convention; Sununu described it as leverage on Congress. The claim that no state convention has ever run away is weak evidence, because, as Lepore noted, most state conventions were open by design.</w:t>
      </w:r>
    </w:p>
    <w:p w14:paraId="53C1F803" w14:textId="77777777" w:rsidR="00F610C4" w:rsidRDefault="00000000">
      <w:pPr>
        <w:pStyle w:val="BodyText"/>
      </w:pPr>
      <w:r>
        <w:rPr>
          <w:b/>
          <w:bCs/>
        </w:rPr>
        <w:t>Balance and tone.</w:t>
      </w:r>
      <w:r>
        <w:t xml:space="preserve"> One of the five panels argued against a convention, though the history panel, the moderators, and Tribe added skeptical voices. The National Federalism Commission, an interstate body that promotes the use of Article V and sponsors the proposed compact, is listed among the supporters. Feingold’s charge of imbalance and Harrison’s list of epithets used by morning speakers are part of the record, and the </w:t>
      </w:r>
      <w:r>
        <w:rPr>
          <w:i/>
          <w:iCs/>
        </w:rPr>
        <w:t>Harvard Journal on Legislation</w:t>
      </w:r>
      <w:r>
        <w:t xml:space="preserve"> issue would be stronger for a fuller skeptical presence.</w:t>
      </w:r>
    </w:p>
    <w:p w14:paraId="53545B0A" w14:textId="77777777" w:rsidR="00F610C4" w:rsidRDefault="00000000">
      <w:pPr>
        <w:pStyle w:val="Heading2"/>
      </w:pPr>
      <w:bookmarkStart w:id="12" w:name="in-the-case-against-a-convention"/>
      <w:bookmarkEnd w:id="11"/>
      <w:r>
        <w:t>In the case against a convention</w:t>
      </w:r>
    </w:p>
    <w:p w14:paraId="66356134" w14:textId="77777777" w:rsidR="00F610C4" w:rsidRDefault="00000000">
      <w:pPr>
        <w:pStyle w:val="FirstParagraph"/>
      </w:pPr>
      <w:r>
        <w:rPr>
          <w:b/>
          <w:bCs/>
        </w:rPr>
        <w:t>The forum-shopping argument assumes Congress can be persuaded.</w:t>
      </w:r>
      <w:r>
        <w:t xml:space="preserve"> Super’s frame is clear and powerful, but it does not engage the premise Mason stated in 1787 and every proponent repeated: Congress will not propose amendments that limit its own power or tenure. The skeptics’ preferred path, a social movement that persuades Congress, has historically relied on the threat of a convention, as Feingold conceded about the Seventeenth Amendment and as Farris argued about the Bill of Rights.</w:t>
      </w:r>
    </w:p>
    <w:p w14:paraId="28DEE82D" w14:textId="77777777" w:rsidR="00F610C4" w:rsidRDefault="00000000">
      <w:pPr>
        <w:pStyle w:val="BodyText"/>
      </w:pPr>
      <w:r>
        <w:rPr>
          <w:b/>
          <w:bCs/>
        </w:rPr>
        <w:t>“No rules” is partly answered.</w:t>
      </w:r>
      <w:r>
        <w:t xml:space="preserve"> Rules exist in draft: the Phoenix rules, the National Federalism Commission’s rules, faithful delegate laws, and the compact.</w:t>
      </w:r>
      <w:r>
        <w:rPr>
          <w:rStyle w:val="FootnoteReference"/>
        </w:rPr>
        <w:footnoteReference w:id="10"/>
      </w:r>
      <w:r>
        <w:t xml:space="preserve"> The real question is whether they are enforceable and who enforces them. That is a stronger objection, and the skeptics’ best version of their argument.</w:t>
      </w:r>
    </w:p>
    <w:p w14:paraId="0A7DC97D" w14:textId="77777777" w:rsidR="00F610C4" w:rsidRDefault="00000000">
      <w:pPr>
        <w:pStyle w:val="BodyText"/>
      </w:pPr>
      <w:r>
        <w:rPr>
          <w:b/>
          <w:bCs/>
        </w:rPr>
        <w:t>The preferred reform has no campaign.</w:t>
      </w:r>
      <w:r>
        <w:t xml:space="preserve"> Amending Article V to require elected delegates, real limits, or popular votes was the skeptics’ main alternative, and everyone praised it. No organization is pursuing it, and Feingold’s view that Congress would pass it under public pressure is untested.</w:t>
      </w:r>
    </w:p>
    <w:p w14:paraId="16A76A4C" w14:textId="77777777" w:rsidR="00F610C4" w:rsidRDefault="00000000">
      <w:pPr>
        <w:pStyle w:val="BodyText"/>
      </w:pPr>
      <w:r>
        <w:rPr>
          <w:b/>
          <w:bCs/>
        </w:rPr>
        <w:t>Some arguments are contingent.</w:t>
      </w:r>
      <w:r>
        <w:t xml:space="preserve"> Super’s count of delegations depends on current partisan control of legislatures. The more durable versions of the skeptics’ argument are structural: one state, one vote, gerrymandered legislatures, and the absence of any popular vote in Article V.</w:t>
      </w:r>
    </w:p>
    <w:p w14:paraId="2FA5ADB1" w14:textId="77777777" w:rsidR="00F610C4" w:rsidRDefault="00000000">
      <w:pPr>
        <w:pStyle w:val="BodyText"/>
      </w:pPr>
      <w:r>
        <w:rPr>
          <w:b/>
          <w:bCs/>
        </w:rPr>
        <w:t>Opposition alone does not prepare for a convention that may come anyway.</w:t>
      </w:r>
      <w:r>
        <w:t xml:space="preserve"> Tribe said a convention “might happen whether you guys want it or not,” and agreed it would be malpractice not to plan for one. A strategy of urging legislatures to rescind applications, including applications on money in politics, leaves the design of any convention to its strongest proponents.</w:t>
      </w:r>
    </w:p>
    <w:p w14:paraId="02052F1B" w14:textId="77777777" w:rsidR="00F610C4" w:rsidRDefault="00000000">
      <w:pPr>
        <w:pStyle w:val="Heading1"/>
      </w:pPr>
      <w:bookmarkStart w:id="13" w:name="open-questions-for-the-next-stage"/>
      <w:bookmarkEnd w:id="10"/>
      <w:bookmarkEnd w:id="12"/>
      <w:r>
        <w:lastRenderedPageBreak/>
        <w:t>Open questions for the next stage</w:t>
      </w:r>
    </w:p>
    <w:p w14:paraId="1BECBD15" w14:textId="77777777" w:rsidR="00F610C4" w:rsidRDefault="00000000">
      <w:pPr>
        <w:pStyle w:val="FirstParagraph"/>
      </w:pPr>
      <w:r>
        <w:t xml:space="preserve">The conference identified a research and organizing agenda. These questions seem most likely to determine whether the convention route can be made safe and legitimate, and most suitable for the forthcoming </w:t>
      </w:r>
      <w:r>
        <w:rPr>
          <w:i/>
          <w:iCs/>
        </w:rPr>
        <w:t>Harvard Journal on Legislation</w:t>
      </w:r>
      <w:r>
        <w:t xml:space="preserve"> issue.</w:t>
      </w:r>
    </w:p>
    <w:p w14:paraId="641E90CB" w14:textId="77777777" w:rsidR="00F610C4" w:rsidRDefault="00000000">
      <w:pPr>
        <w:numPr>
          <w:ilvl w:val="0"/>
          <w:numId w:val="2"/>
        </w:numPr>
      </w:pPr>
      <w:r>
        <w:rPr>
          <w:b/>
          <w:bCs/>
        </w:rPr>
        <w:t>Counting.</w:t>
      </w:r>
      <w:r>
        <w:t xml:space="preserve"> Can plenary and single-subject applications be aggregated, do applications expire, and can they be rescinded? Who decides: Congress, a court, or no one?</w:t>
      </w:r>
    </w:p>
    <w:p w14:paraId="03A59524" w14:textId="77777777" w:rsidR="00F610C4" w:rsidRDefault="00000000">
      <w:pPr>
        <w:numPr>
          <w:ilvl w:val="0"/>
          <w:numId w:val="2"/>
        </w:numPr>
      </w:pPr>
      <w:r>
        <w:rPr>
          <w:b/>
          <w:bCs/>
        </w:rPr>
        <w:t>Binding.</w:t>
      </w:r>
      <w:r>
        <w:t xml:space="preserve"> Are faithful delegate laws and the proposed interstate compact enforceable? Does </w:t>
      </w:r>
      <w:r>
        <w:rPr>
          <w:i/>
          <w:iCs/>
        </w:rPr>
        <w:t>Chiafalo</w:t>
      </w:r>
      <w:r>
        <w:t xml:space="preserve"> extend to convention delegates despite the textual difference between Articles II and V? Can a state bind its delegates to a citizens’ assembly rather than to its legislature?</w:t>
      </w:r>
    </w:p>
    <w:p w14:paraId="02572DF2" w14:textId="77777777" w:rsidR="00F610C4" w:rsidRDefault="00000000">
      <w:pPr>
        <w:numPr>
          <w:ilvl w:val="0"/>
          <w:numId w:val="2"/>
        </w:numPr>
      </w:pPr>
      <w:r>
        <w:rPr>
          <w:b/>
          <w:bCs/>
        </w:rPr>
        <w:t>Justiciability.</w:t>
      </w:r>
      <w:r>
        <w:t xml:space="preserve"> After </w:t>
      </w:r>
      <w:r>
        <w:rPr>
          <w:i/>
          <w:iCs/>
        </w:rPr>
        <w:t>Coleman</w:t>
      </w:r>
      <w:r>
        <w:t>, which convention disputes would courts hear, and on what standards?</w:t>
      </w:r>
    </w:p>
    <w:p w14:paraId="658A424D" w14:textId="77777777" w:rsidR="00F610C4" w:rsidRDefault="00000000">
      <w:pPr>
        <w:numPr>
          <w:ilvl w:val="0"/>
          <w:numId w:val="2"/>
        </w:numPr>
      </w:pPr>
      <w:r>
        <w:rPr>
          <w:b/>
          <w:bCs/>
        </w:rPr>
        <w:t>Composition.</w:t>
      </w:r>
      <w:r>
        <w:t xml:space="preserve"> May a state choose delegates by lot? How would minorities, the territories, and the tribes be represented?</w:t>
      </w:r>
    </w:p>
    <w:p w14:paraId="041E7652" w14:textId="77777777" w:rsidR="00F610C4" w:rsidRDefault="00000000">
      <w:pPr>
        <w:numPr>
          <w:ilvl w:val="0"/>
          <w:numId w:val="2"/>
        </w:numPr>
      </w:pPr>
      <w:r>
        <w:rPr>
          <w:b/>
          <w:bCs/>
        </w:rPr>
        <w:t>Ratification.</w:t>
      </w:r>
      <w:r>
        <w:t xml:space="preserve"> May states compose ratifying conventions by lot, or as large citizen juries, as Coccoma proposed? How would Suiter’s citizens’ verdict on the final text fit within Article V?</w:t>
      </w:r>
    </w:p>
    <w:p w14:paraId="1FADD2F3" w14:textId="77777777" w:rsidR="00F610C4" w:rsidRDefault="00000000">
      <w:pPr>
        <w:numPr>
          <w:ilvl w:val="0"/>
          <w:numId w:val="2"/>
        </w:numPr>
      </w:pPr>
      <w:r>
        <w:rPr>
          <w:b/>
          <w:bCs/>
        </w:rPr>
        <w:t>Money.</w:t>
      </w:r>
      <w:r>
        <w:t xml:space="preserve"> What disclosure and anti-lobbying rules should govern delegates, and who can impose them?</w:t>
      </w:r>
    </w:p>
    <w:p w14:paraId="6A827FBA" w14:textId="77777777" w:rsidR="00F610C4" w:rsidRDefault="00000000">
      <w:pPr>
        <w:numPr>
          <w:ilvl w:val="0"/>
          <w:numId w:val="2"/>
        </w:numPr>
      </w:pPr>
      <w:r>
        <w:rPr>
          <w:b/>
          <w:bCs/>
        </w:rPr>
        <w:t>A pilot.</w:t>
      </w:r>
      <w:r>
        <w:t xml:space="preserve"> Lessig’s parallel strategy could be tested now: a state citizens’ assembly on a subject already pending in the applications, such as a fiscal amendment or term limits, ideally designed jointly with a skeptical organization. Its result would show whether such a body can do what Lessig, Walker, Landemore, and Siu say it can, and whether legislators and the public would treat its verdict as binding.</w:t>
      </w:r>
      <w:bookmarkEnd w:id="13"/>
    </w:p>
    <w:sectPr w:rsidR="00F610C4">
      <w:pgSz w:w="12240" w:h="15840"/>
      <w:pgMar w:top="1440" w:right="1440" w:bottom="1440" w:left="1440" w:header="72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D2AA5" w14:textId="77777777" w:rsidR="0074448A" w:rsidRDefault="0074448A">
      <w:pPr>
        <w:spacing w:line="240" w:lineRule="auto"/>
      </w:pPr>
      <w:r>
        <w:separator/>
      </w:r>
    </w:p>
  </w:endnote>
  <w:endnote w:type="continuationSeparator" w:id="0">
    <w:p w14:paraId="3092157D" w14:textId="77777777" w:rsidR="0074448A" w:rsidRDefault="00744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84176" w14:textId="77777777" w:rsidR="0074448A" w:rsidRDefault="0074448A">
      <w:r>
        <w:separator/>
      </w:r>
    </w:p>
  </w:footnote>
  <w:footnote w:type="continuationSeparator" w:id="0">
    <w:p w14:paraId="60F6B022" w14:textId="77777777" w:rsidR="0074448A" w:rsidRDefault="0074448A">
      <w:r>
        <w:continuationSeparator/>
      </w:r>
    </w:p>
  </w:footnote>
  <w:footnote w:id="1">
    <w:p w14:paraId="05C77AEE" w14:textId="77777777" w:rsidR="00F610C4" w:rsidRDefault="00000000">
      <w:pPr>
        <w:pStyle w:val="FootnoteText"/>
      </w:pPr>
      <w:r>
        <w:rPr>
          <w:rStyle w:val="FootnoteReference"/>
        </w:rPr>
        <w:footnoteRef/>
      </w:r>
      <w:r>
        <w:t xml:space="preserve"> This summary draws on the automated transcripts of all ten sessions, Transcripts, V the People Conference, Harvard Law School (Oct. 2–3, 2026) (on file with the conference organizers), and on the individual session summaries saved with them. Quotations are lightly corrected for obvious transcription errors, and names are corrected against the conference roster. V the People, https://vthepeople.org (last visited Oct. 19, 2026); V the People, </w:t>
      </w:r>
      <w:r>
        <w:rPr>
          <w:i/>
          <w:iCs/>
        </w:rPr>
        <w:t>Panelists and Speakers</w:t>
      </w:r>
      <w:r>
        <w:t>, https://vthepeople.org/panels.html (last visited Oct. 19, 2026).</w:t>
      </w:r>
    </w:p>
  </w:footnote>
  <w:footnote w:id="2">
    <w:p w14:paraId="50C3AD9D" w14:textId="77777777" w:rsidR="00F610C4" w:rsidRDefault="00000000">
      <w:pPr>
        <w:pStyle w:val="FootnoteText"/>
      </w:pPr>
      <w:r>
        <w:rPr>
          <w:rStyle w:val="FootnoteReference"/>
        </w:rPr>
        <w:footnoteRef/>
      </w:r>
      <w:r>
        <w:t xml:space="preserve"> </w:t>
      </w:r>
      <w:r>
        <w:rPr>
          <w:i/>
          <w:iCs/>
        </w:rPr>
        <w:t>See</w:t>
      </w:r>
      <w:r>
        <w:t xml:space="preserve"> Michael B. Rappaport, </w:t>
      </w:r>
      <w:r>
        <w:rPr>
          <w:i/>
          <w:iCs/>
        </w:rPr>
        <w:t>Reforming Article V: The Problems Created by the National Convention Amendment Method and How to Fix Them</w:t>
      </w:r>
      <w:r>
        <w:t>, 96 Va. L. Rev. 1509 (2010).</w:t>
      </w:r>
    </w:p>
  </w:footnote>
  <w:footnote w:id="3">
    <w:p w14:paraId="7DE83FDD" w14:textId="77777777" w:rsidR="00F610C4" w:rsidRDefault="00000000">
      <w:pPr>
        <w:pStyle w:val="FootnoteText"/>
      </w:pPr>
      <w:r>
        <w:rPr>
          <w:rStyle w:val="FootnoteReference"/>
        </w:rPr>
        <w:footnoteRef/>
      </w:r>
      <w:r>
        <w:t xml:space="preserve"> </w:t>
      </w:r>
      <w:proofErr w:type="spellStart"/>
      <w:r>
        <w:t>Chiafalo</w:t>
      </w:r>
      <w:proofErr w:type="spellEnd"/>
      <w:r>
        <w:t xml:space="preserve"> v. Washington, 591 U.S. 578 (2020); </w:t>
      </w:r>
      <w:r>
        <w:rPr>
          <w:i/>
          <w:iCs/>
        </w:rPr>
        <w:t>see</w:t>
      </w:r>
      <w:r>
        <w:t xml:space="preserve"> U.S. Const. art. II, § 1, cl. 2.</w:t>
      </w:r>
    </w:p>
  </w:footnote>
  <w:footnote w:id="4">
    <w:p w14:paraId="51E70DB3" w14:textId="77777777" w:rsidR="00F610C4" w:rsidRDefault="00000000">
      <w:pPr>
        <w:pStyle w:val="FootnoteText"/>
      </w:pPr>
      <w:r>
        <w:rPr>
          <w:rStyle w:val="FootnoteReference"/>
        </w:rPr>
        <w:footnoteRef/>
      </w:r>
      <w:r>
        <w:t xml:space="preserve"> Compact for a Safe and Equal Convention for Proposing Amendments (</w:t>
      </w:r>
      <w:proofErr w:type="spellStart"/>
      <w:r>
        <w:t>Nat’l</w:t>
      </w:r>
      <w:proofErr w:type="spellEnd"/>
      <w:r>
        <w:t xml:space="preserve"> Federalism Comm’n model text, Apr. 18, 2026), https://cdn.nfcommission.gov/2026/04/Compact-Safe-Equal-ConvPropose-Amend-Final-4-18-2026.pdf (taking effect when adopted by 26 states).</w:t>
      </w:r>
    </w:p>
  </w:footnote>
  <w:footnote w:id="5">
    <w:p w14:paraId="28057501" w14:textId="77777777" w:rsidR="00F610C4" w:rsidRDefault="00000000">
      <w:pPr>
        <w:pStyle w:val="FootnoteText"/>
      </w:pPr>
      <w:r>
        <w:rPr>
          <w:rStyle w:val="FootnoteReference"/>
        </w:rPr>
        <w:footnoteRef/>
      </w:r>
      <w:r>
        <w:t xml:space="preserve"> </w:t>
      </w:r>
      <w:r>
        <w:rPr>
          <w:i/>
          <w:iCs/>
        </w:rPr>
        <w:t>See</w:t>
      </w:r>
      <w:r>
        <w:t xml:space="preserve"> Lawrence Lessig, </w:t>
      </w:r>
      <w:proofErr w:type="gramStart"/>
      <w:r>
        <w:rPr>
          <w:i/>
          <w:iCs/>
        </w:rPr>
        <w:t>Making</w:t>
      </w:r>
      <w:proofErr w:type="gramEnd"/>
      <w:r>
        <w:rPr>
          <w:i/>
          <w:iCs/>
        </w:rPr>
        <w:t xml:space="preserve"> a Constitutional Convention Safe for Democracy</w:t>
      </w:r>
      <w:r>
        <w:t xml:space="preserve">, N.Y. Rev. Books (Apr. 17, 2023); V the People, </w:t>
      </w:r>
      <w:r>
        <w:rPr>
          <w:i/>
          <w:iCs/>
        </w:rPr>
        <w:t>FAQ</w:t>
      </w:r>
      <w:r>
        <w:t>, https://vthepeople.org/faq.html (last visited Oct. 19, 2026).</w:t>
      </w:r>
    </w:p>
  </w:footnote>
  <w:footnote w:id="6">
    <w:p w14:paraId="74666D32" w14:textId="77777777" w:rsidR="00F610C4" w:rsidRDefault="00000000">
      <w:pPr>
        <w:pStyle w:val="FootnoteText"/>
      </w:pPr>
      <w:r>
        <w:rPr>
          <w:rStyle w:val="FootnoteReference"/>
        </w:rPr>
        <w:footnoteRef/>
      </w:r>
      <w:r>
        <w:t xml:space="preserve"> </w:t>
      </w:r>
      <w:r>
        <w:rPr>
          <w:i/>
          <w:iCs/>
        </w:rPr>
        <w:t>See</w:t>
      </w:r>
      <w:r>
        <w:t xml:space="preserve"> Michael Farris, </w:t>
      </w:r>
      <w:r>
        <w:rPr>
          <w:i/>
          <w:iCs/>
        </w:rPr>
        <w:t>Defying Conventional Wisdom: The Constitution Was Not the Product of a Runaway Convention</w:t>
      </w:r>
      <w:r>
        <w:t xml:space="preserve">, 40 Harv. J.L. &amp; Pub. </w:t>
      </w:r>
      <w:proofErr w:type="spellStart"/>
      <w:r>
        <w:t>Pol’y</w:t>
      </w:r>
      <w:proofErr w:type="spellEnd"/>
      <w:r>
        <w:t xml:space="preserve"> 61 (2017).</w:t>
      </w:r>
    </w:p>
  </w:footnote>
  <w:footnote w:id="7">
    <w:p w14:paraId="1877FC18" w14:textId="77777777" w:rsidR="00F610C4" w:rsidRDefault="00000000">
      <w:pPr>
        <w:pStyle w:val="FootnoteText"/>
      </w:pPr>
      <w:r>
        <w:rPr>
          <w:rStyle w:val="FootnoteReference"/>
        </w:rPr>
        <w:footnoteRef/>
      </w:r>
      <w:r>
        <w:t xml:space="preserve"> Russ Feingold &amp; Peter Prindiville, The Constitution in Jeopardy: An Unprecedented Effort to Rewrite Our Fundamental Law and What We Can Do About It (2022).</w:t>
      </w:r>
    </w:p>
  </w:footnote>
  <w:footnote w:id="8">
    <w:p w14:paraId="4E0EF1F8" w14:textId="77777777" w:rsidR="00F610C4" w:rsidRDefault="00000000">
      <w:pPr>
        <w:pStyle w:val="FootnoteText"/>
      </w:pPr>
      <w:r>
        <w:rPr>
          <w:rStyle w:val="FootnoteReference"/>
        </w:rPr>
        <w:footnoteRef/>
      </w:r>
      <w:r>
        <w:t xml:space="preserve"> </w:t>
      </w:r>
      <w:r>
        <w:rPr>
          <w:i/>
          <w:iCs/>
        </w:rPr>
        <w:t>See</w:t>
      </w:r>
      <w:r>
        <w:t xml:space="preserve"> U.S. Const. art. V; Richard Albert, Constitutional Amendments: Making, Breaking, and Changing Constitutions (2019).</w:t>
      </w:r>
    </w:p>
  </w:footnote>
  <w:footnote w:id="9">
    <w:p w14:paraId="2E659B59" w14:textId="77777777" w:rsidR="00F610C4" w:rsidRDefault="00000000">
      <w:pPr>
        <w:pStyle w:val="FootnoteText"/>
      </w:pPr>
      <w:r>
        <w:rPr>
          <w:rStyle w:val="FootnoteReference"/>
        </w:rPr>
        <w:footnoteRef/>
      </w:r>
      <w:r>
        <w:t xml:space="preserve"> Coleman v. Miller, 307 U.S. 433, 459 (1939) (Black, J., concurring).</w:t>
      </w:r>
    </w:p>
  </w:footnote>
  <w:footnote w:id="10">
    <w:p w14:paraId="0B058086" w14:textId="77777777" w:rsidR="00F610C4" w:rsidRDefault="00000000">
      <w:pPr>
        <w:pStyle w:val="FootnoteText"/>
      </w:pPr>
      <w:r>
        <w:rPr>
          <w:rStyle w:val="FootnoteReference"/>
        </w:rPr>
        <w:footnoteRef/>
      </w:r>
      <w:r>
        <w:t xml:space="preserve"> Compact for a Safe and Equal Convention for Proposing Amendments, </w:t>
      </w:r>
      <w:r>
        <w:rPr>
          <w:i/>
          <w:iCs/>
        </w:rPr>
        <w:t>supra</w:t>
      </w:r>
      <w:r>
        <w:t xml:space="preserve"> note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10BEB74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2E3AD94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656717225">
    <w:abstractNumId w:val="0"/>
  </w:num>
  <w:num w:numId="2" w16cid:durableId="377822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10C4"/>
    <w:rsid w:val="003C231F"/>
    <w:rsid w:val="0074448A"/>
    <w:rsid w:val="00EE7646"/>
    <w:rsid w:val="00F610C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CDDA21"/>
  <w15:docId w15:val="{5F15D864-93B2-7D40-9B83-A4AD05AB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0" w:line="276" w:lineRule="auto"/>
    </w:pPr>
    <w:rPr>
      <w:rFonts w:ascii="Georgia" w:eastAsia="Georgia" w:hAnsi="Georgia" w:cs="Georgia"/>
      <w:color w:val="222222"/>
      <w:sz w:val="22"/>
      <w:szCs w:val="22"/>
    </w:rPr>
  </w:style>
  <w:style w:type="paragraph" w:styleId="Heading1">
    <w:name w:val="heading 1"/>
    <w:basedOn w:val="Normal"/>
    <w:next w:val="BodyText"/>
    <w:uiPriority w:val="9"/>
    <w:qFormat/>
    <w:pPr>
      <w:keepNext/>
      <w:keepLines/>
      <w:spacing w:before="320" w:after="120"/>
      <w:outlineLvl w:val="0"/>
    </w:pPr>
    <w:rPr>
      <w:b/>
      <w:color w:val="1F3A5F"/>
      <w:sz w:val="28"/>
      <w:szCs w:val="28"/>
    </w:rPr>
  </w:style>
  <w:style w:type="paragraph" w:styleId="Heading2">
    <w:name w:val="heading 2"/>
    <w:basedOn w:val="Normal"/>
    <w:next w:val="BodyText"/>
    <w:uiPriority w:val="9"/>
    <w:unhideWhenUsed/>
    <w:qFormat/>
    <w:pPr>
      <w:keepNext/>
      <w:keepLines/>
      <w:spacing w:before="240" w:after="80"/>
      <w:outlineLvl w:val="1"/>
    </w:pPr>
    <w:rPr>
      <w:b/>
      <w:i/>
      <w:color w:val="1F3A5F"/>
      <w:sz w:val="23"/>
      <w:szCs w:val="23"/>
    </w:rPr>
  </w:style>
  <w:style w:type="paragraph" w:styleId="Heading3">
    <w:name w:val="heading 3"/>
    <w:basedOn w:val="Normal"/>
    <w:next w:val="BodyText"/>
    <w:uiPriority w:val="9"/>
    <w:unhideWhenUsed/>
    <w:qFormat/>
    <w:pPr>
      <w:keepNext/>
      <w:keepLines/>
      <w:spacing w:before="20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outlineLvl w:val="3"/>
    </w:pPr>
    <w:rPr>
      <w:rFonts w:asciiTheme="majorHAnsi" w:eastAsiaTheme="majorEastAsia" w:hAnsiTheme="majorHAnsi" w:cstheme="majorBidi"/>
      <w:bCs/>
      <w:i/>
      <w:color w:val="4F81BD" w:themeColor="accent1"/>
      <w:sz w:val="24"/>
      <w:szCs w:val="24"/>
    </w:rPr>
  </w:style>
  <w:style w:type="paragraph" w:styleId="Heading5">
    <w:name w:val="heading 5"/>
    <w:basedOn w:val="Normal"/>
    <w:next w:val="BodyText"/>
    <w:uiPriority w:val="9"/>
    <w:unhideWhenUsed/>
    <w:qFormat/>
    <w:pPr>
      <w:keepNext/>
      <w:keepLines/>
      <w:spacing w:before="20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60" w:line="288" w:lineRule="auto"/>
    </w:pPr>
  </w:style>
  <w:style w:type="paragraph" w:customStyle="1" w:styleId="FirstParagraph">
    <w:name w:val="First Paragraph"/>
    <w:basedOn w:val="BodyText"/>
    <w:next w:val="BodyText"/>
    <w:qFormat/>
  </w:style>
  <w:style w:type="paragraph" w:customStyle="1" w:styleId="Compact">
    <w:name w:val="Compact"/>
    <w:basedOn w:val="BodyText"/>
    <w:qFormat/>
    <w:pPr>
      <w:spacing w:before="40" w:after="40" w:line="252" w:lineRule="auto"/>
    </w:pPr>
    <w:rPr>
      <w:sz w:val="19"/>
      <w:szCs w:val="19"/>
    </w:rPr>
  </w:style>
  <w:style w:type="paragraph" w:styleId="Title">
    <w:name w:val="Title"/>
    <w:basedOn w:val="Normal"/>
    <w:next w:val="BodyText"/>
    <w:qFormat/>
    <w:pPr>
      <w:keepNext/>
      <w:keepLines/>
      <w:spacing w:after="80"/>
    </w:pPr>
    <w:rPr>
      <w:b/>
      <w:color w:val="1F3A5F"/>
      <w:sz w:val="40"/>
      <w:szCs w:val="40"/>
    </w:rPr>
  </w:style>
  <w:style w:type="paragraph" w:styleId="Subtitle">
    <w:name w:val="Subtitle"/>
    <w:basedOn w:val="Normal"/>
    <w:next w:val="BodyText"/>
    <w:qFormat/>
    <w:pPr>
      <w:keepNext/>
      <w:pBdr>
        <w:bottom w:val="single" w:sz="6" w:space="8" w:color="1F3A5F"/>
      </w:pBdr>
      <w:spacing w:after="240"/>
    </w:pPr>
    <w:rPr>
      <w:i/>
      <w:color w:val="555555"/>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pPr>
      <w:spacing w:after="60" w:line="240" w:lineRule="auto"/>
    </w:pPr>
    <w:rPr>
      <w:sz w:val="18"/>
      <w:szCs w:val="18"/>
    </w:rPr>
  </w:style>
  <w:style w:type="table" w:customStyle="1" w:styleId="Table">
    <w:name w:val="Table"/>
    <w:qFormat/>
    <w:tblPr>
      <w:tblInd w:w="0" w:type="dxa"/>
      <w:tblBorders>
        <w:top w:val="single" w:sz="6" w:space="0" w:color="1F3A5F"/>
        <w:bottom w:val="single" w:sz="6" w:space="0" w:color="1F3A5F"/>
        <w:insideH w:val="single" w:sz="4" w:space="0" w:color="C8CED6"/>
      </w:tblBorders>
      <w:tblCellMar>
        <w:top w:w="60" w:type="dxa"/>
        <w:left w:w="100" w:type="dxa"/>
        <w:bottom w:w="60" w:type="dxa"/>
        <w:right w:w="100" w:type="dxa"/>
      </w:tblCellMar>
    </w:tblPr>
    <w:tblStylePr w:type="firstRow">
      <w:rPr>
        <w:b/>
        <w:color w:val="1F3A5F"/>
      </w:rPr>
      <w:tblPr/>
      <w:tcPr>
        <w:shd w:val="clear" w:color="auto" w:fill="EEF2F6"/>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3601</Words>
  <Characters>20531</Characters>
  <Application>Microsoft Office Word</Application>
  <DocSecurity>0</DocSecurity>
  <Lines>171</Lines>
  <Paragraphs>48</Paragraphs>
  <ScaleCrop>false</ScaleCrop>
  <Company/>
  <LinksUpToDate>false</LinksUpToDate>
  <CharactersWithSpaces>24084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Summary: The V the People Conference on an Article V Convention</dc:title>
  <dc:creator/>
  <cp:keywords/>
  <cp:lastModifiedBy>Lessig, Lawrence</cp:lastModifiedBy>
  <cp:revision>2</cp:revision>
  <dcterms:created xsi:type="dcterms:W3CDTF">2026-10-19T14:17:00Z</dcterms:created>
  <dcterms:modified xsi:type="dcterms:W3CDTF">2026-10-20T11:06:00Z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Harvard Law School · October 2–3, 2026 · Ten sessions, about thirty speakers</vt:lpwstr>
  </property>
</Properties>
</file>