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Session</w:t>
      </w:r>
      <w:r>
        <w:t xml:space="preserve"> </w:t>
      </w:r>
      <w:r>
        <w:t xml:space="preserve">10:</w:t>
      </w:r>
      <w:r>
        <w:t xml:space="preserve"> </w:t>
      </w:r>
      <w:r>
        <w:t xml:space="preserve">Dinner</w:t>
      </w:r>
      <w:r>
        <w:t xml:space="preserve"> </w:t>
      </w:r>
      <w:r>
        <w:t xml:space="preserve">Conversation</w:t>
      </w:r>
      <w:r>
        <w:t xml:space="preserve"> </w:t>
      </w:r>
      <w:r>
        <w:t xml:space="preserve">with</w:t>
      </w:r>
      <w:r>
        <w:t xml:space="preserve"> </w:t>
      </w:r>
      <w:r>
        <w:t xml:space="preserve">Laurence</w:t>
      </w:r>
      <w:r>
        <w:t xml:space="preserve"> </w:t>
      </w:r>
      <w:r>
        <w:t xml:space="preserve">Tribe</w:t>
      </w:r>
    </w:p>
    <w:p>
      <w:pPr>
        <w:pStyle w:val="Subtitle"/>
      </w:pPr>
      <w:r>
        <w:t xml:space="preserve">V</w:t>
      </w:r>
      <w:r>
        <w:t xml:space="preserve"> </w:t>
      </w:r>
      <w:r>
        <w:t xml:space="preserve">the</w:t>
      </w:r>
      <w:r>
        <w:t xml:space="preserve"> </w:t>
      </w:r>
      <w:r>
        <w:t xml:space="preserve">People</w:t>
      </w:r>
      <w:r>
        <w:t xml:space="preserve"> </w:t>
      </w:r>
      <w:r>
        <w:t xml:space="preserve">Conference</w:t>
      </w:r>
      <w:r>
        <w:t xml:space="preserve"> </w:t>
      </w:r>
      <w:r>
        <w:t xml:space="preserve">on</w:t>
      </w:r>
      <w:r>
        <w:t xml:space="preserve"> </w:t>
      </w:r>
      <w:r>
        <w:t xml:space="preserve">an</w:t>
      </w:r>
      <w:r>
        <w:t xml:space="preserve"> </w:t>
      </w:r>
      <w:r>
        <w:t xml:space="preserve">Article</w:t>
      </w:r>
      <w:r>
        <w:t xml:space="preserve"> </w:t>
      </w:r>
      <w:r>
        <w:t xml:space="preserve">V</w:t>
      </w:r>
      <w:r>
        <w:t xml:space="preserve"> </w:t>
      </w:r>
      <w:r>
        <w:t xml:space="preserve">Convention</w:t>
      </w:r>
      <w:r>
        <w:t xml:space="preserve"> </w:t>
      </w:r>
      <w:r>
        <w:t xml:space="preserve">·</w:t>
      </w:r>
      <w:r>
        <w:t xml:space="preserve"> </w:t>
      </w:r>
      <w:r>
        <w:t xml:space="preserve">Harvard</w:t>
      </w:r>
      <w:r>
        <w:t xml:space="preserve"> </w:t>
      </w:r>
      <w:r>
        <w:t xml:space="preserve">Law</w:t>
      </w:r>
      <w:r>
        <w:t xml:space="preserve"> </w:t>
      </w:r>
      <w:r>
        <w:t xml:space="preserve">School</w:t>
      </w:r>
      <w:r>
        <w:t xml:space="preserve"> </w:t>
      </w:r>
      <w:r>
        <w:t xml:space="preserve">·</w:t>
      </w:r>
      <w:r>
        <w:t xml:space="preserve"> </w:t>
      </w:r>
      <w:r>
        <w:t xml:space="preserve">Saturday,</w:t>
      </w:r>
      <w:r>
        <w:t xml:space="preserve"> </w:t>
      </w:r>
      <w:r>
        <w:t xml:space="preserve">October</w:t>
      </w:r>
      <w:r>
        <w:t xml:space="preserve"> </w:t>
      </w:r>
      <w:r>
        <w:t xml:space="preserve">3,</w:t>
      </w:r>
      <w:r>
        <w:t xml:space="preserve"> </w:t>
      </w:r>
      <w:r>
        <w:t xml:space="preserve">2026</w:t>
      </w:r>
    </w:p>
    <w:tbl>
      <w:tblPr>
        <w:tblStyle w:val="Table"/>
        <w:tblW w:type="pct" w:w="5000"/>
        <w:tblLook w:firstRow="0" w:lastRow="0" w:firstColumn="0" w:lastColumn="0" w:noHBand="0" w:noVBand="0" w:val="0000"/>
        <w:jc w:val="start"/>
      </w:tblPr>
      <w:tblGrid>
        <w:gridCol w:w="2066"/>
        <w:gridCol w:w="5853"/>
      </w:tblGrid>
      <w:tr>
        <w:tc>
          <w:tcPr/>
          <w:p>
            <w:pPr>
              <w:pStyle w:val="Compact"/>
              <w:jc w:val="left"/>
            </w:pPr>
            <w:r>
              <w:t xml:space="preserve">Program slot</w:t>
            </w:r>
          </w:p>
        </w:tc>
        <w:tc>
          <w:tcPr/>
          <w:p>
            <w:pPr>
              <w:pStyle w:val="Compact"/>
              <w:jc w:val="left"/>
            </w:pPr>
            <w:r>
              <w:t xml:space="preserve">Dinner, discussion, and closing remarks, 6:45 p.m.</w:t>
            </w:r>
          </w:p>
        </w:tc>
      </w:tr>
      <w:tr>
        <w:tc>
          <w:tcPr/>
          <w:p>
            <w:pPr>
              <w:pStyle w:val="Compact"/>
              <w:jc w:val="left"/>
            </w:pPr>
            <w:r>
              <w:t xml:space="preserve">Participants</w:t>
            </w:r>
          </w:p>
        </w:tc>
        <w:tc>
          <w:tcPr/>
          <w:p>
            <w:pPr>
              <w:pStyle w:val="Compact"/>
              <w:jc w:val="left"/>
            </w:pPr>
            <w:r>
              <w:t xml:space="preserve">Laurence Tribe, Carl M. Loeb University Professor Emeritus, Harvard Law School, in conversation with Lawrence Lessig</w:t>
            </w:r>
          </w:p>
        </w:tc>
      </w:tr>
      <w:tr>
        <w:tc>
          <w:tcPr/>
          <w:p>
            <w:pPr>
              <w:pStyle w:val="Compact"/>
              <w:jc w:val="left"/>
            </w:pPr>
            <w:r>
              <w:t xml:space="preserve">Recording</w:t>
            </w:r>
          </w:p>
        </w:tc>
        <w:tc>
          <w:tcPr/>
          <w:p>
            <w:pPr>
              <w:pStyle w:val="Compact"/>
              <w:jc w:val="left"/>
            </w:pPr>
            <w:r>
              <w:t xml:space="preserve">About 43 minutes. The program also listed closing remarks by Lessig and Michael Farris; they are not in the transcript.</w:t>
            </w:r>
          </w:p>
        </w:tc>
      </w:tr>
    </w:tbl>
    <w:bookmarkStart w:id="21" w:name="in-brief"/>
    <w:p>
      <w:pPr>
        <w:pStyle w:val="Heading1"/>
      </w:pPr>
      <w:r>
        <w:t xml:space="preserve">In brief</w:t>
      </w:r>
    </w:p>
    <w:p>
      <w:pPr>
        <w:pStyle w:val="FirstParagraph"/>
      </w:pPr>
      <w:r>
        <w:t xml:space="preserve">The conference closed with Laurence Tribe, long a leading skeptic of an Article V convention, describing how his views have changed. His fear in the balanced budget era, that courts would not stop a convention from going beyond its call, has largely</w:t>
      </w:r>
      <w:r>
        <w:t xml:space="preserve"> </w:t>
      </w:r>
      <w:r>
        <w:t xml:space="preserve">“</w:t>
      </w:r>
      <w:r>
        <w:t xml:space="preserve">evaporated.</w:t>
      </w:r>
      <w:r>
        <w:t xml:space="preserve">”</w:t>
      </w:r>
      <w:r>
        <w:t xml:space="preserve"> </w:t>
      </w:r>
      <w:r>
        <w:t xml:space="preserve">What remains is a worry about who would use the opening. He fears that the money and organization that shaped</w:t>
      </w:r>
      <w:r>
        <w:t xml:space="preserve"> </w:t>
      </w:r>
      <w:r>
        <w:rPr>
          <w:iCs/>
          <w:i/>
        </w:rPr>
        <w:t xml:space="preserve">Citizens United</w:t>
      </w:r>
      <w:r>
        <w:t xml:space="preserve"> </w:t>
      </w:r>
      <w:r>
        <w:t xml:space="preserve">and its successors would</w:t>
      </w:r>
      <w:r>
        <w:t xml:space="preserve"> </w:t>
      </w:r>
      <w:r>
        <w:t xml:space="preserve">“</w:t>
      </w:r>
      <w:r>
        <w:t xml:space="preserve">percolate</w:t>
      </w:r>
      <w:r>
        <w:t xml:space="preserve">”</w:t>
      </w:r>
      <w:r>
        <w:t xml:space="preserve"> </w:t>
      </w:r>
      <w:r>
        <w:t xml:space="preserve">through a convention, and that wealthy technology interests and authors of Project 2025 would use it as</w:t>
      </w:r>
      <w:r>
        <w:t xml:space="preserve"> </w:t>
      </w:r>
      <w:r>
        <w:t xml:space="preserve">“</w:t>
      </w:r>
      <w:r>
        <w:t xml:space="preserve">a Trojan horse.</w:t>
      </w:r>
      <w:r>
        <w:t xml:space="preserve">”</w:t>
      </w:r>
      <w:r>
        <w:t xml:space="preserve"> </w:t>
      </w:r>
      <w:r>
        <w:t xml:space="preserve">That, he said,</w:t>
      </w:r>
      <w:r>
        <w:t xml:space="preserve"> </w:t>
      </w:r>
      <w:r>
        <w:t xml:space="preserve">“</w:t>
      </w:r>
      <w:r>
        <w:t xml:space="preserve">doesn’t make me oppose it. It just means something that I think we ought to think about.</w:t>
      </w:r>
      <w:r>
        <w:t xml:space="preserve">”</w:t>
      </w:r>
      <w:r>
        <w:t xml:space="preserve"> </w:t>
      </w:r>
      <w:r>
        <w:t xml:space="preserve">He agreed with Lessig that it would be professional malpractice not to plan for a convention that might come whether its advocates want it or not.</w:t>
      </w:r>
      <w:r>
        <w:rPr>
          <w:rStyle w:val="FootnoteReference"/>
        </w:rPr>
        <w:footnoteReference w:id="20"/>
      </w:r>
    </w:p>
    <w:p>
      <w:pPr>
        <w:pStyle w:val="BodyText"/>
      </w:pPr>
      <w:r>
        <w:t xml:space="preserve">Tribe added the conference’s sharpest strategic objection. Suppose a first convention succeeds and proves the process safe.</w:t>
      </w:r>
      <w:r>
        <w:t xml:space="preserve"> </w:t>
      </w:r>
      <w:r>
        <w:t xml:space="preserve">“</w:t>
      </w:r>
      <w:r>
        <w:t xml:space="preserve">What is then to stop lots of people with lots of money and lots of savvy from propelling the next convention, a convention to solidify</w:t>
      </w:r>
      <w:r>
        <w:t xml:space="preserve"> </w:t>
      </w:r>
      <w:r>
        <w:rPr>
          <w:iCs/>
          <w:i/>
        </w:rPr>
        <w:t xml:space="preserve">Citizens United</w:t>
      </w:r>
      <w:r>
        <w:t xml:space="preserve"> </w:t>
      </w:r>
      <w:r>
        <w:t xml:space="preserve">and worse?</w:t>
      </w:r>
      <w:r>
        <w:t xml:space="preserve">”</w:t>
      </w:r>
      <w:r>
        <w:t xml:space="preserve"> </w:t>
      </w:r>
      <w:r>
        <w:t xml:space="preserve">Lessig’s answer was the one he had given all day: tie delegates to the judgment of randomly selected citizens. The conversation ended on common ground about deliberation. Tribe recounted his work on constitutions in the Marshall Islands, where ordinary citizens’ ideas were</w:t>
      </w:r>
      <w:r>
        <w:t xml:space="preserve"> </w:t>
      </w:r>
      <w:r>
        <w:t xml:space="preserve">“</w:t>
      </w:r>
      <w:r>
        <w:t xml:space="preserve">every bit as good as, sometimes better than,</w:t>
      </w:r>
      <w:r>
        <w:t xml:space="preserve">”</w:t>
      </w:r>
      <w:r>
        <w:t xml:space="preserve"> </w:t>
      </w:r>
      <w:r>
        <w:t xml:space="preserve">those of elites. Lessig described watching 750 randomly chosen Mongolians deliberate on constitutional amendments as the moment that changed his own view.</w:t>
      </w:r>
    </w:p>
    <w:bookmarkEnd w:id="21"/>
    <w:bookmarkStart w:id="22" w:name="context"/>
    <w:p>
      <w:pPr>
        <w:pStyle w:val="Heading1"/>
      </w:pPr>
      <w:r>
        <w:t xml:space="preserve">Context</w:t>
      </w:r>
    </w:p>
    <w:p>
      <w:pPr>
        <w:pStyle w:val="FirstParagraph"/>
      </w:pPr>
      <w:r>
        <w:t xml:space="preserve">Tribe opposed a convention during the balanced budget campaigns of the late 1970s and 1980s, when the campaign came within a few states of the threshold. Lessig noted that Tribe had participated in the 2011 Harvard conference, by which time his position had softened. Codrington, on the skeptics’ panel, cited Tribe’s view that courts should defer to the political branches on both the substance and the procedure of amendment. Tribe heard Lepore’s keynote and the end of the final panel but missed most of the day.</w:t>
      </w:r>
    </w:p>
    <w:bookmarkEnd w:id="22"/>
    <w:bookmarkStart w:id="32" w:name="the-conversation"/>
    <w:p>
      <w:pPr>
        <w:pStyle w:val="Heading1"/>
      </w:pPr>
      <w:r>
        <w:t xml:space="preserve">The conversation</w:t>
      </w:r>
    </w:p>
    <w:bookmarkStart w:id="24" w:name="introductions"/>
    <w:p>
      <w:pPr>
        <w:pStyle w:val="Heading2"/>
      </w:pPr>
      <w:r>
        <w:t xml:space="preserve">Introductions</w:t>
      </w:r>
    </w:p>
    <w:p>
      <w:pPr>
        <w:pStyle w:val="FirstParagraph"/>
      </w:pPr>
      <w:r>
        <w:t xml:space="preserve">Lessig introduced Tribe as</w:t>
      </w:r>
      <w:r>
        <w:t xml:space="preserve"> </w:t>
      </w:r>
      <w:r>
        <w:t xml:space="preserve">“</w:t>
      </w:r>
      <w:r>
        <w:t xml:space="preserve">the Thurgood Marshall of the legal academy,</w:t>
      </w:r>
      <w:r>
        <w:t xml:space="preserve">”</w:t>
      </w:r>
      <w:r>
        <w:t xml:space="preserve"> </w:t>
      </w:r>
      <w:r>
        <w:t xml:space="preserve">a scholar whose work moved the law toward justice, and recalled receiving an unsolicited letter from Tribe in about 1992 praising an early essay. Tribe responded with a story of calling Justice Marshall after listening to the recording of Marshall’s argument in</w:t>
      </w:r>
      <w:r>
        <w:t xml:space="preserve"> </w:t>
      </w:r>
      <w:r>
        <w:rPr>
          <w:iCs/>
          <w:i/>
        </w:rPr>
        <w:t xml:space="preserve">Cooper v. Aaron</w:t>
      </w:r>
      <w:r>
        <w:t xml:space="preserve">, which he called</w:t>
      </w:r>
      <w:r>
        <w:t xml:space="preserve"> </w:t>
      </w:r>
      <w:r>
        <w:t xml:space="preserve">“</w:t>
      </w:r>
      <w:r>
        <w:t xml:space="preserve">a masterclass in extraordinary lawyering.</w:t>
      </w:r>
      <w:r>
        <w:t xml:space="preserve">”</w:t>
      </w:r>
      <w:r>
        <w:rPr>
          <w:rStyle w:val="FootnoteReference"/>
        </w:rPr>
        <w:footnoteReference w:id="23"/>
      </w:r>
    </w:p>
    <w:bookmarkEnd w:id="24"/>
    <w:bookmarkStart w:id="25" w:name="how-tribes-views-changed"/>
    <w:p>
      <w:pPr>
        <w:pStyle w:val="Heading2"/>
      </w:pPr>
      <w:r>
        <w:t xml:space="preserve">How Tribe’s views changed</w:t>
      </w:r>
    </w:p>
    <w:p>
      <w:pPr>
        <w:pStyle w:val="FirstParagraph"/>
      </w:pPr>
      <w:r>
        <w:t xml:space="preserve">Lessig asked Tribe to describe where he now stands. In the balanced budget era, Tribe said, little work had been done on constraining a convention or ensuring ratification followed Article V. He was</w:t>
      </w:r>
      <w:r>
        <w:t xml:space="preserve"> </w:t>
      </w:r>
      <w:r>
        <w:t xml:space="preserve">“</w:t>
      </w:r>
      <w:r>
        <w:t xml:space="preserve">obsessed with the notion that courts probably wouldn’t intervene</w:t>
      </w:r>
      <w:r>
        <w:t xml:space="preserve">”</w:t>
      </w:r>
      <w:r>
        <w:t xml:space="preserve"> </w:t>
      </w:r>
      <w:r>
        <w:t xml:space="preserve">to stop a convention from taking up unrelated subjects or proposing ratification by fewer than three-fourths of the states, as Philadelphia had departed from the Articles. Over time, and as he mellowed,</w:t>
      </w:r>
      <w:r>
        <w:t xml:space="preserve"> </w:t>
      </w:r>
      <w:r>
        <w:t xml:space="preserve">“</w:t>
      </w:r>
      <w:r>
        <w:t xml:space="preserve">much of my skepticism began to evaporate.</w:t>
      </w:r>
      <w:r>
        <w:t xml:space="preserve">”</w:t>
      </w:r>
    </w:p>
    <w:p>
      <w:pPr>
        <w:pStyle w:val="BodyText"/>
      </w:pPr>
      <w:r>
        <w:t xml:space="preserve">What changed his view was a deeper appreciation that the Constitution</w:t>
      </w:r>
      <w:r>
        <w:t xml:space="preserve"> </w:t>
      </w:r>
      <w:r>
        <w:t xml:space="preserve">“</w:t>
      </w:r>
      <w:r>
        <w:t xml:space="preserve">trusts people.</w:t>
      </w:r>
      <w:r>
        <w:t xml:space="preserve">”</w:t>
      </w:r>
      <w:r>
        <w:t xml:space="preserve"> </w:t>
      </w:r>
      <w:r>
        <w:t xml:space="preserve">Its legitimacy, he said, really dates from the Reconstruction Amendments, and its history is one of gradual expansion, inclusion, and enfranchisement.</w:t>
      </w:r>
      <w:r>
        <w:t xml:space="preserve"> </w:t>
      </w:r>
      <w:r>
        <w:t xml:space="preserve">“</w:t>
      </w:r>
      <w:r>
        <w:t xml:space="preserve">The more I admire it, the more I welcome dialogue,</w:t>
      </w:r>
      <w:r>
        <w:t xml:space="preserve">”</w:t>
      </w:r>
      <w:r>
        <w:t xml:space="preserve"> </w:t>
      </w:r>
      <w:r>
        <w:t xml:space="preserve">and he valued the chance for Americans to learn from one another</w:t>
      </w:r>
      <w:r>
        <w:t xml:space="preserve"> </w:t>
      </w:r>
      <w:r>
        <w:t xml:space="preserve">“</w:t>
      </w:r>
      <w:r>
        <w:t xml:space="preserve">more than I fear the downside.</w:t>
      </w:r>
      <w:r>
        <w:t xml:space="preserve">”</w:t>
      </w:r>
    </w:p>
    <w:bookmarkEnd w:id="25"/>
    <w:bookmarkStart w:id="28" w:name="what-still-worries-him"/>
    <w:p>
      <w:pPr>
        <w:pStyle w:val="Heading2"/>
      </w:pPr>
      <w:r>
        <w:t xml:space="preserve">What still worries him</w:t>
      </w:r>
    </w:p>
    <w:p>
      <w:pPr>
        <w:pStyle w:val="FirstParagraph"/>
      </w:pPr>
      <w:r>
        <w:t xml:space="preserve">Tribe’s remaining fear is the motives of some who welcome a convention. Big money’s pressure, which won</w:t>
      </w:r>
      <w:r>
        <w:t xml:space="preserve"> </w:t>
      </w:r>
      <w:r>
        <w:t xml:space="preserve">“</w:t>
      </w:r>
      <w:r>
        <w:t xml:space="preserve">a First Amendment license</w:t>
      </w:r>
      <w:r>
        <w:t xml:space="preserve">”</w:t>
      </w:r>
      <w:r>
        <w:t xml:space="preserve"> </w:t>
      </w:r>
      <w:r>
        <w:t xml:space="preserve">in</w:t>
      </w:r>
      <w:r>
        <w:t xml:space="preserve"> </w:t>
      </w:r>
      <w:r>
        <w:rPr>
          <w:iCs/>
          <w:i/>
        </w:rPr>
        <w:t xml:space="preserve">Citizens United</w:t>
      </w:r>
      <w:r>
        <w:t xml:space="preserve"> </w:t>
      </w:r>
      <w:r>
        <w:t xml:space="preserve">and</w:t>
      </w:r>
      <w:r>
        <w:t xml:space="preserve"> </w:t>
      </w:r>
      <w:r>
        <w:rPr>
          <w:iCs/>
          <w:i/>
        </w:rPr>
        <w:t xml:space="preserve">SpeechNow.org</w:t>
      </w:r>
      <w:r>
        <w:t xml:space="preserve">, would not disappear during a convention.</w:t>
      </w:r>
      <w:r>
        <w:rPr>
          <w:rStyle w:val="FootnoteReference"/>
        </w:rPr>
        <w:footnoteReference w:id="26"/>
      </w:r>
      <w:r>
        <w:t xml:space="preserve"> </w:t>
      </w:r>
      <w:r>
        <w:t xml:space="preserve">He named</w:t>
      </w:r>
      <w:r>
        <w:t xml:space="preserve"> </w:t>
      </w:r>
      <w:r>
        <w:t xml:space="preserve">“</w:t>
      </w:r>
      <w:r>
        <w:t xml:space="preserve">AI and the oligarchs and the trillionaires</w:t>
      </w:r>
      <w:r>
        <w:t xml:space="preserve">”</w:t>
      </w:r>
      <w:r>
        <w:t xml:space="preserve"> </w:t>
      </w:r>
      <w:r>
        <w:t xml:space="preserve">and said the authors of Project 2025</w:t>
      </w:r>
      <w:r>
        <w:t xml:space="preserve"> </w:t>
      </w:r>
      <w:r>
        <w:t xml:space="preserve">“</w:t>
      </w:r>
      <w:r>
        <w:t xml:space="preserve">are just salivating</w:t>
      </w:r>
      <w:r>
        <w:t xml:space="preserve">”</w:t>
      </w:r>
      <w:r>
        <w:t xml:space="preserve"> </w:t>
      </w:r>
      <w:r>
        <w:t xml:space="preserve">at the chance to replace a Constitution moving toward democracy with one moving toward autocracy, citing Gil Durán’s book on Silicon Valley’s political ambitions.</w:t>
      </w:r>
      <w:r>
        <w:rPr>
          <w:rStyle w:val="FootnoteReference"/>
        </w:rPr>
        <w:footnoteReference w:id="27"/>
      </w:r>
      <w:r>
        <w:t xml:space="preserve"> </w:t>
      </w:r>
      <w:r>
        <w:t xml:space="preserve">He also worried about progressives who attack the Constitution as too old and too hard to amend, a point on which he said he and Lepore disagree. His fear is that the convention would</w:t>
      </w:r>
      <w:r>
        <w:t xml:space="preserve"> </w:t>
      </w:r>
      <w:r>
        <w:t xml:space="preserve">“</w:t>
      </w:r>
      <w:r>
        <w:t xml:space="preserve">not open dialogue but close it,</w:t>
      </w:r>
      <w:r>
        <w:t xml:space="preserve">”</w:t>
      </w:r>
      <w:r>
        <w:t xml:space="preserve"> </w:t>
      </w:r>
      <w:r>
        <w:t xml:space="preserve">and</w:t>
      </w:r>
      <w:r>
        <w:t xml:space="preserve"> </w:t>
      </w:r>
      <w:r>
        <w:t xml:space="preserve">“</w:t>
      </w:r>
      <w:r>
        <w:t xml:space="preserve">not eliminate the pathologies but build on them.</w:t>
      </w:r>
      <w:r>
        <w:t xml:space="preserve">”</w:t>
      </w:r>
      <w:r>
        <w:t xml:space="preserve"> </w:t>
      </w:r>
      <w:r>
        <w:t xml:space="preserve">It might even come about through the AI interests themselves, with an agenda</w:t>
      </w:r>
      <w:r>
        <w:t xml:space="preserve"> </w:t>
      </w:r>
      <w:r>
        <w:t xml:space="preserve">“</w:t>
      </w:r>
      <w:r>
        <w:t xml:space="preserve">invisibly planned by self-improving, replicating AI.</w:t>
      </w:r>
      <w:r>
        <w:t xml:space="preserve">”</w:t>
      </w:r>
    </w:p>
    <w:bookmarkEnd w:id="28"/>
    <w:bookmarkStart w:id="29" w:name="lessigs-response"/>
    <w:p>
      <w:pPr>
        <w:pStyle w:val="Heading2"/>
      </w:pPr>
      <w:r>
        <w:t xml:space="preserve">Lessig’s response</w:t>
      </w:r>
    </w:p>
    <w:p>
      <w:pPr>
        <w:pStyle w:val="FirstParagraph"/>
      </w:pPr>
      <w:r>
        <w:t xml:space="preserve">Lessig said the people closest to planning a convention are working to</w:t>
      </w:r>
      <w:r>
        <w:t xml:space="preserve"> </w:t>
      </w:r>
      <w:r>
        <w:t xml:space="preserve">“</w:t>
      </w:r>
      <w:r>
        <w:t xml:space="preserve">lock down</w:t>
      </w:r>
      <w:r>
        <w:t xml:space="preserve">”</w:t>
      </w:r>
      <w:r>
        <w:t xml:space="preserve"> </w:t>
      </w:r>
      <w:r>
        <w:t xml:space="preserve">its possible agenda, and that the last two panels offered further protections against the capture Fung had described. He proposed running citizens’ assemblies in a state in parallel with the legislative debate over a balanced budget amendment or</w:t>
      </w:r>
      <w:r>
        <w:t xml:space="preserve"> </w:t>
      </w:r>
      <w:r>
        <w:rPr>
          <w:iCs/>
          <w:i/>
        </w:rPr>
        <w:t xml:space="preserve">Citizens United</w:t>
      </w:r>
      <w:r>
        <w:t xml:space="preserve">, to show that such a body</w:t>
      </w:r>
      <w:r>
        <w:t xml:space="preserve"> </w:t>
      </w:r>
      <w:r>
        <w:t xml:space="preserve">“</w:t>
      </w:r>
      <w:r>
        <w:t xml:space="preserve">can really summon out of the people an astonishing capacity to have good judgment.</w:t>
      </w:r>
      <w:r>
        <w:t xml:space="preserve">”</w:t>
      </w:r>
    </w:p>
    <w:bookmarkEnd w:id="29"/>
    <w:bookmarkStart w:id="30" w:name="the-second-convention"/>
    <w:p>
      <w:pPr>
        <w:pStyle w:val="Heading2"/>
      </w:pPr>
      <w:r>
        <w:t xml:space="preserve">The second convention</w:t>
      </w:r>
    </w:p>
    <w:p>
      <w:pPr>
        <w:pStyle w:val="FirstParagraph"/>
      </w:pPr>
      <w:r>
        <w:t xml:space="preserve">Tribe accepted the premise and pushed further. Suppose the experiment succeeds and a balanced budget convention persuades people that conventions can be held safely.</w:t>
      </w:r>
      <w:r>
        <w:t xml:space="preserve"> </w:t>
      </w:r>
      <w:r>
        <w:t xml:space="preserve">“</w:t>
      </w:r>
      <w:r>
        <w:t xml:space="preserve">There’s no reason that there have to be only two… We could have 13 of them.</w:t>
      </w:r>
      <w:r>
        <w:t xml:space="preserve">”</w:t>
      </w:r>
      <w:r>
        <w:t xml:space="preserve"> </w:t>
      </w:r>
      <w:r>
        <w:t xml:space="preserve">What then stops the well-funded from using the next one to entrench</w:t>
      </w:r>
      <w:r>
        <w:t xml:space="preserve"> </w:t>
      </w:r>
      <w:r>
        <w:rPr>
          <w:iCs/>
          <w:i/>
        </w:rPr>
        <w:t xml:space="preserve">Citizens United</w:t>
      </w:r>
      <w:r>
        <w:t xml:space="preserve">?</w:t>
      </w:r>
      <w:r>
        <w:t xml:space="preserve"> </w:t>
      </w:r>
      <w:r>
        <w:t xml:space="preserve">“</w:t>
      </w:r>
      <w:r>
        <w:t xml:space="preserve">Once the genie is out of the bottle, it can float around.</w:t>
      </w:r>
      <w:r>
        <w:t xml:space="preserve">”</w:t>
      </w:r>
    </w:p>
    <w:p>
      <w:pPr>
        <w:pStyle w:val="BodyText"/>
      </w:pPr>
      <w:r>
        <w:t xml:space="preserve">Lessig answered that the second part of his strategy is to persuade states to bind their delegates to the results of citizens’ assemblies, for example forbidding a delegate to vote for an amendment that lacks 60 percent support in the state’s assembly. That safeguard works, he said, only if one has confidence that a random, informed, deliberating group would not be moved by a billionaire’s</w:t>
      </w:r>
      <w:r>
        <w:t xml:space="preserve"> </w:t>
      </w:r>
      <w:r>
        <w:t xml:space="preserve">“</w:t>
      </w:r>
      <w:r>
        <w:t xml:space="preserve">crazy idea.</w:t>
      </w:r>
      <w:r>
        <w:t xml:space="preserve">”</w:t>
      </w:r>
      <w:r>
        <w:t xml:space="preserve"> </w:t>
      </w:r>
      <w:r>
        <w:t xml:space="preserve">What excites him is that it would tie Article V,</w:t>
      </w:r>
      <w:r>
        <w:t xml:space="preserve"> </w:t>
      </w:r>
      <w:r>
        <w:t xml:space="preserve">“</w:t>
      </w:r>
      <w:r>
        <w:t xml:space="preserve">which of course we know was not born with the people directly in mind,</w:t>
      </w:r>
      <w:r>
        <w:t xml:space="preserve">”</w:t>
      </w:r>
      <w:r>
        <w:t xml:space="preserve"> </w:t>
      </w:r>
      <w:r>
        <w:t xml:space="preserve">to the people.</w:t>
      </w:r>
    </w:p>
    <w:bookmarkEnd w:id="30"/>
    <w:bookmarkStart w:id="31" w:name="amending-article-v"/>
    <w:p>
      <w:pPr>
        <w:pStyle w:val="Heading2"/>
      </w:pPr>
      <w:r>
        <w:t xml:space="preserve">Amending Article V</w:t>
      </w:r>
    </w:p>
    <w:p>
      <w:pPr>
        <w:pStyle w:val="FirstParagraph"/>
      </w:pPr>
      <w:r>
        <w:t xml:space="preserve">Tribe asked whether anyone had answered the question, raised on the final panel, about amending the amendment process itself. Lessig said it had come up and that the answer is that</w:t>
      </w:r>
      <w:r>
        <w:t xml:space="preserve"> </w:t>
      </w:r>
      <w:r>
        <w:t xml:space="preserve">“</w:t>
      </w:r>
      <w:r>
        <w:t xml:space="preserve">it’s a great idea that it’s impossible to build a political movement</w:t>
      </w:r>
      <w:r>
        <w:t xml:space="preserve">”</w:t>
      </w:r>
      <w:r>
        <w:t xml:space="preserve"> </w:t>
      </w:r>
      <w:r>
        <w:t xml:space="preserve">around. Tribe said it was intriguing as a thought experiment and worried that the convention movement could slide into a platform for attacking the Constitution. The worst features of current law, he argued, are not in the Constitution but were</w:t>
      </w:r>
      <w:r>
        <w:t xml:space="preserve"> </w:t>
      </w:r>
      <w:r>
        <w:t xml:space="preserve">“</w:t>
      </w:r>
      <w:r>
        <w:t xml:space="preserve">stuck in it</w:t>
      </w:r>
      <w:r>
        <w:t xml:space="preserve">”</w:t>
      </w:r>
      <w:r>
        <w:t xml:space="preserve"> </w:t>
      </w:r>
      <w:r>
        <w:t xml:space="preserve">by the Supreme Court, such as</w:t>
      </w:r>
      <w:r>
        <w:t xml:space="preserve"> </w:t>
      </w:r>
      <w:r>
        <w:t xml:space="preserve">“</w:t>
      </w:r>
      <w:r>
        <w:t xml:space="preserve">this insane presidential immunity</w:t>
      </w:r>
      <w:r>
        <w:t xml:space="preserve">”</w:t>
      </w:r>
      <w:r>
        <w:t xml:space="preserve"> </w:t>
      </w:r>
      <w:r>
        <w:t xml:space="preserve">and the unitary executive theory. He mentioned a new essay by Noah Feldman on the elimination of independent agencies.</w:t>
      </w:r>
    </w:p>
    <w:p>
      <w:pPr>
        <w:pStyle w:val="BodyText"/>
      </w:pPr>
      <w:r>
        <w:t xml:space="preserve">On the Electoral College, Tribe doubted 38 states would ratify its abolition. Lessig argued they might, because more than three-fourths of states are not swing states and so gain nothing from the current system. Tribe said he and former students Erwin Chemerinsky and Jamie Raskin believe the Electoral College in its current form violates the one-person, one-vote principle, and suggested, provocatively, that Congress could abolish the Senate by statute without denying any state equal suffrage, because</w:t>
      </w:r>
      <w:r>
        <w:t xml:space="preserve"> </w:t>
      </w:r>
      <w:r>
        <w:t xml:space="preserve">“</w:t>
      </w:r>
      <w:r>
        <w:t xml:space="preserve">zero equals zero.</w:t>
      </w:r>
      <w:r>
        <w:t xml:space="preserve">”</w:t>
      </w:r>
    </w:p>
    <w:p>
      <w:pPr>
        <w:pStyle w:val="BodyText"/>
      </w:pPr>
      <w:r>
        <w:t xml:space="preserve">Lessig closed this part by drawing out Tribe’s wish to persuade people: the lesson of the conference, he said, is the need to bring the people into constitutional change rather than leave it to lawyers and judges, through structured deliberation rather than</w:t>
      </w:r>
      <w:r>
        <w:t xml:space="preserve"> </w:t>
      </w:r>
      <w:r>
        <w:t xml:space="preserve">“</w:t>
      </w:r>
      <w:r>
        <w:t xml:space="preserve">screaming sessions.</w:t>
      </w:r>
      <w:r>
        <w:t xml:space="preserve">”</w:t>
      </w:r>
      <w:r>
        <w:t xml:space="preserve"> </w:t>
      </w:r>
      <w:r>
        <w:t xml:space="preserve">He said he is increasingly convinced that deliberating citizens are</w:t>
      </w:r>
      <w:r>
        <w:t xml:space="preserve"> </w:t>
      </w:r>
      <w:r>
        <w:t xml:space="preserve">“</w:t>
      </w:r>
      <w:r>
        <w:t xml:space="preserve">probably better than most state legislatures, certainly better than Congress.</w:t>
      </w:r>
      <w:r>
        <w:t xml:space="preserve">”</w:t>
      </w:r>
      <w:r>
        <w:t xml:space="preserve"> </w:t>
      </w:r>
      <w:r>
        <w:t xml:space="preserve">Tribe did not disagree.</w:t>
      </w:r>
    </w:p>
    <w:bookmarkEnd w:id="31"/>
    <w:bookmarkEnd w:id="32"/>
    <w:bookmarkStart w:id="34" w:name="questions"/>
    <w:p>
      <w:pPr>
        <w:pStyle w:val="Heading1"/>
      </w:pPr>
      <w:r>
        <w:t xml:space="preserve">Questions</w:t>
      </w:r>
    </w:p>
    <w:p>
      <w:pPr>
        <w:pStyle w:val="FirstParagraph"/>
      </w:pPr>
      <w:r>
        <w:rPr>
          <w:bCs/>
          <w:b/>
        </w:rPr>
        <w:t xml:space="preserve">A convention and money.</w:t>
      </w:r>
      <w:r>
        <w:t xml:space="preserve"> </w:t>
      </w:r>
      <w:r>
        <w:t xml:space="preserve">An audience member argued that refusing a convention does not protect against billionaires or the Supreme Court changing the rules. Tribe agreed that a convention would not make that worse but said it should not be oversold. A constitution cannot remove the country’s</w:t>
      </w:r>
      <w:r>
        <w:t xml:space="preserve"> </w:t>
      </w:r>
      <w:r>
        <w:t xml:space="preserve">“</w:t>
      </w:r>
      <w:r>
        <w:t xml:space="preserve">tectonic plates</w:t>
      </w:r>
      <w:r>
        <w:t xml:space="preserve">”</w:t>
      </w:r>
      <w:r>
        <w:t xml:space="preserve">:</w:t>
      </w:r>
      <w:r>
        <w:t xml:space="preserve"> </w:t>
      </w:r>
      <w:r>
        <w:t xml:space="preserve">“</w:t>
      </w:r>
      <w:r>
        <w:t xml:space="preserve">There are lots of haters… They don’t go away just because the Constitution says</w:t>
      </w:r>
      <w:r>
        <w:t xml:space="preserve"> </w:t>
      </w:r>
      <w:r>
        <w:rPr>
          <w:iCs/>
          <w:i/>
        </w:rPr>
        <w:t xml:space="preserve">Obergefell</w:t>
      </w:r>
      <w:r>
        <w:t xml:space="preserve"> </w:t>
      </w:r>
      <w:r>
        <w:t xml:space="preserve">is the law.</w:t>
      </w:r>
      <w:r>
        <w:t xml:space="preserve">”</w:t>
      </w:r>
      <w:r>
        <w:rPr>
          <w:rStyle w:val="FootnoteReference"/>
        </w:rPr>
        <w:footnoteReference w:id="33"/>
      </w:r>
    </w:p>
    <w:p>
      <w:pPr>
        <w:pStyle w:val="BodyText"/>
      </w:pPr>
      <w:r>
        <w:rPr>
          <w:bCs/>
          <w:b/>
        </w:rPr>
        <w:t xml:space="preserve">Lessig’s conversion.</w:t>
      </w:r>
      <w:r>
        <w:t xml:space="preserve"> </w:t>
      </w:r>
      <w:r>
        <w:t xml:space="preserve">A sortition advocate asked Lessig what convinced him. He described traveling to Mongolia with Alice Siu to observe the first deliberative poll under its law requiring one before constitutional amendments. He watched 750 randomly selected Mongolians deliberate for days, expecting them to struggle, and came away convinced that</w:t>
      </w:r>
      <w:r>
        <w:t xml:space="preserve"> </w:t>
      </w:r>
      <w:r>
        <w:t xml:space="preserve">“</w:t>
      </w:r>
      <w:r>
        <w:t xml:space="preserve">literally statistically average people</w:t>
      </w:r>
      <w:r>
        <w:t xml:space="preserve">”</w:t>
      </w:r>
      <w:r>
        <w:t xml:space="preserve"> </w:t>
      </w:r>
      <w:r>
        <w:t xml:space="preserve">could recognize what the legislature was doing, and that their recommendations carried real weight. Something</w:t>
      </w:r>
      <w:r>
        <w:t xml:space="preserve"> </w:t>
      </w:r>
      <w:r>
        <w:t xml:space="preserve">“</w:t>
      </w:r>
      <w:r>
        <w:t xml:space="preserve">magical,</w:t>
      </w:r>
      <w:r>
        <w:t xml:space="preserve">”</w:t>
      </w:r>
      <w:r>
        <w:t xml:space="preserve"> </w:t>
      </w:r>
      <w:r>
        <w:t xml:space="preserve">he said, can be summoned from people</w:t>
      </w:r>
      <w:r>
        <w:t xml:space="preserve"> </w:t>
      </w:r>
      <w:r>
        <w:t xml:space="preserve">“</w:t>
      </w:r>
      <w:r>
        <w:t xml:space="preserve">if you force people to face each other and talk through their differences.</w:t>
      </w:r>
      <w:r>
        <w:t xml:space="preserve">”</w:t>
      </w:r>
      <w:r>
        <w:t xml:space="preserve"> </w:t>
      </w:r>
      <w:r>
        <w:t xml:space="preserve">He credited Jane Mansbridge, who was present, as a pioneer of this work.</w:t>
      </w:r>
    </w:p>
    <w:p>
      <w:pPr>
        <w:pStyle w:val="BodyText"/>
      </w:pPr>
      <w:r>
        <w:rPr>
          <w:bCs/>
          <w:b/>
        </w:rPr>
        <w:t xml:space="preserve">Tribe’s experience.</w:t>
      </w:r>
      <w:r>
        <w:t xml:space="preserve"> </w:t>
      </w:r>
      <w:r>
        <w:t xml:space="preserve">Tribe described helping the Marshall Islands hold a constitutional convention in the late 1970s, over about two years, in which ordinary fishermen and others had ideas</w:t>
      </w:r>
      <w:r>
        <w:t xml:space="preserve"> </w:t>
      </w:r>
      <w:r>
        <w:t xml:space="preserve">“</w:t>
      </w:r>
      <w:r>
        <w:t xml:space="preserve">every bit as good as, sometimes better than, the so-called elites.</w:t>
      </w:r>
      <w:r>
        <w:t xml:space="preserve">”</w:t>
      </w:r>
      <w:r>
        <w:t xml:space="preserve"> </w:t>
      </w:r>
      <w:r>
        <w:t xml:space="preserve">He contrasted it with advising elites in Czechoslovakia under Václav Havel and working with Nelson Mandela on South Africa’s transitional constitution, both valuable but neither comparable.</w:t>
      </w:r>
    </w:p>
    <w:p>
      <w:pPr>
        <w:pStyle w:val="BodyText"/>
      </w:pPr>
      <w:r>
        <w:rPr>
          <w:bCs/>
          <w:b/>
        </w:rPr>
        <w:t xml:space="preserve">Young people.</w:t>
      </w:r>
      <w:r>
        <w:t xml:space="preserve"> </w:t>
      </w:r>
      <w:r>
        <w:t xml:space="preserve">Asked about deliberative experience for high school students, Tribe supported it, described working with fifth graders writing a constitution, supported lowering the voting age to 16 for local and state elections, and praised Justice O’Connor’s civic education work. Lessig said that as AI drives the cost of knowledge toward zero, schools should teach students to</w:t>
      </w:r>
      <w:r>
        <w:t xml:space="preserve"> </w:t>
      </w:r>
      <w:r>
        <w:t xml:space="preserve">“</w:t>
      </w:r>
      <w:r>
        <w:t xml:space="preserve">work things out together.</w:t>
      </w:r>
      <w:r>
        <w:t xml:space="preserve">”</w:t>
      </w:r>
      <w:r>
        <w:t xml:space="preserve"> </w:t>
      </w:r>
      <w:r>
        <w:t xml:space="preserve">Tribe warned that life on screens erodes the habit of dealing with people in person.</w:t>
      </w:r>
    </w:p>
    <w:p>
      <w:pPr>
        <w:pStyle w:val="BodyText"/>
      </w:pPr>
      <w:r>
        <w:rPr>
          <w:bCs/>
          <w:b/>
        </w:rPr>
        <w:t xml:space="preserve">Has Tribe warmed?</w:t>
      </w:r>
      <w:r>
        <w:t xml:space="preserve"> </w:t>
      </w:r>
      <w:r>
        <w:t xml:space="preserve">Jim Rubens asked directly whether Tribe had warmed to the state-led process. Tribe said he has</w:t>
      </w:r>
      <w:r>
        <w:t xml:space="preserve"> </w:t>
      </w:r>
      <w:r>
        <w:t xml:space="preserve">“</w:t>
      </w:r>
      <w:r>
        <w:t xml:space="preserve">never had trouble with the idea.</w:t>
      </w:r>
      <w:r>
        <w:t xml:space="preserve">”</w:t>
      </w:r>
      <w:r>
        <w:t xml:space="preserve"> </w:t>
      </w:r>
      <w:r>
        <w:t xml:space="preserve">Congress will not readily give up its prerogatives. But he added a caveat that cut against the day’s premise: looking at the amendments that Article V’s difficulty has blocked,</w:t>
      </w:r>
      <w:r>
        <w:t xml:space="preserve"> </w:t>
      </w:r>
      <w:r>
        <w:t xml:space="preserve">“</w:t>
      </w:r>
      <w:r>
        <w:t xml:space="preserve">the overwhelming majority</w:t>
      </w:r>
      <w:r>
        <w:t xml:space="preserve">”</w:t>
      </w:r>
      <w:r>
        <w:t xml:space="preserve"> </w:t>
      </w:r>
      <w:r>
        <w:t xml:space="preserve">are ones he is glad were filtered out, such as mandatory school prayer.</w:t>
      </w:r>
    </w:p>
    <w:bookmarkEnd w:id="34"/>
    <w:bookmarkStart w:id="35" w:name="how-the-debate-stands-after-session-10"/>
    <w:p>
      <w:pPr>
        <w:pStyle w:val="Heading1"/>
      </w:pPr>
      <w:r>
        <w:t xml:space="preserve">How the debate stands after Session 10</w:t>
      </w:r>
    </w:p>
    <w:p>
      <w:pPr>
        <w:pStyle w:val="FirstParagraph"/>
      </w:pPr>
      <w:r>
        <w:t xml:space="preserve">Tribe’s arc is a fair summary of how the debate has moved since the 1980s. The legal fear, that nothing could stop a convention from exceeding its call, has softened, including for a leading skeptic. The political fear, that the people with the most money and organization would shape the convention, has grown. That matches the shift in the conference itself, from the morning’s focus on runaways to the afternoon’s focus on capture.</w:t>
      </w:r>
    </w:p>
    <w:p>
      <w:pPr>
        <w:pStyle w:val="BodyText"/>
      </w:pPr>
      <w:r>
        <w:t xml:space="preserve">His</w:t>
      </w:r>
      <w:r>
        <w:t xml:space="preserve"> </w:t>
      </w:r>
      <w:r>
        <w:t xml:space="preserve">“</w:t>
      </w:r>
      <w:r>
        <w:t xml:space="preserve">second convention</w:t>
      </w:r>
      <w:r>
        <w:t xml:space="preserve">”</w:t>
      </w:r>
      <w:r>
        <w:t xml:space="preserve"> </w:t>
      </w:r>
      <w:r>
        <w:t xml:space="preserve">objection is the hardest for proponents. It turns their own strategy against them. The proof-of-concept convention that Walker and Farris want, and that Lessig would like to start with a less frightening amendment, is meant to make conventions routine. Once routine, the tool is available to whoever can organize 34 legislatures. Lessig’s answer, binding delegates to citizens’ assemblies, is the only one offered all day that addresses this, because it changes who decides rather than how many safeguards surround the legislators who decide. But as the previous panel showed, it depends on legislatures or a movement adopting it, and its leading designers conceded the legislatures will not.</w:t>
      </w:r>
    </w:p>
    <w:p>
      <w:pPr>
        <w:pStyle w:val="BodyText"/>
      </w:pPr>
      <w:r>
        <w:t xml:space="preserve">Tribe’s closing caveat also matters for the premise Lessig stated at the opening, that the question now is how to amend rather than whether. Tribe agreed amendment is needed but said Article V’s difficulty has mostly blocked bad amendments, and that the worst features of current law were made by the Court, not the text. For him, much of the reform agenda runs through changing the Court and Congress, not the Constitution.</w:t>
      </w:r>
    </w:p>
    <w:tbl>
      <w:tblPr>
        <w:tblStyle w:val="Table"/>
        <w:tblW w:type="pct" w:w="5000"/>
        <w:tblLook w:firstRow="1" w:lastRow="0" w:firstColumn="0" w:lastColumn="0" w:noHBand="0" w:noVBand="0" w:val="0020"/>
        <w:jc w:val="start"/>
      </w:tblPr>
      <w:tblGrid>
        <w:gridCol w:w="2112"/>
        <w:gridCol w:w="5808"/>
      </w:tblGrid>
      <w:tr>
        <w:trPr>
          <w:tblHeader w:val="true"/>
        </w:trPr>
        <w:tc>
          <w:tcPr/>
          <w:p>
            <w:pPr>
              <w:pStyle w:val="Compact"/>
              <w:jc w:val="left"/>
            </w:pPr>
            <w:r>
              <w:t xml:space="preserve">Question</w:t>
            </w:r>
          </w:p>
        </w:tc>
        <w:tc>
          <w:tcPr/>
          <w:p>
            <w:pPr>
              <w:pStyle w:val="Compact"/>
              <w:jc w:val="left"/>
            </w:pPr>
            <w:r>
              <w:t xml:space="preserve">Where it stands at the close</w:t>
            </w:r>
          </w:p>
        </w:tc>
      </w:tr>
      <w:tr>
        <w:tc>
          <w:tcPr/>
          <w:p>
            <w:pPr>
              <w:pStyle w:val="Compact"/>
              <w:jc w:val="left"/>
            </w:pPr>
            <w:r>
              <w:t xml:space="preserve">Can a convention be held to its subject?</w:t>
            </w:r>
          </w:p>
        </w:tc>
        <w:tc>
          <w:tcPr/>
          <w:p>
            <w:pPr>
              <w:pStyle w:val="Compact"/>
              <w:jc w:val="left"/>
            </w:pPr>
            <w:r>
              <w:t xml:space="preserve">Tribe’s old fear on this has largely faded. Lessig noted planners are working to lock down the agenda.</w:t>
            </w:r>
          </w:p>
        </w:tc>
      </w:tr>
      <w:tr>
        <w:tc>
          <w:tcPr/>
          <w:p>
            <w:pPr>
              <w:pStyle w:val="Compact"/>
              <w:jc w:val="left"/>
            </w:pPr>
            <w:r>
              <w:t xml:space="preserve">Could money capture a convention?</w:t>
            </w:r>
          </w:p>
        </w:tc>
        <w:tc>
          <w:tcPr/>
          <w:p>
            <w:pPr>
              <w:pStyle w:val="Compact"/>
              <w:jc w:val="left"/>
            </w:pPr>
            <w:r>
              <w:t xml:space="preserve">Tribe’s main remaining worry, now including AI wealth and Project 2025.</w:t>
            </w:r>
          </w:p>
        </w:tc>
      </w:tr>
      <w:tr>
        <w:tc>
          <w:tcPr/>
          <w:p>
            <w:pPr>
              <w:pStyle w:val="Compact"/>
              <w:jc w:val="left"/>
            </w:pPr>
            <w:r>
              <w:t xml:space="preserve">What happens after a first convention succeeds?</w:t>
            </w:r>
          </w:p>
        </w:tc>
        <w:tc>
          <w:tcPr/>
          <w:p>
            <w:pPr>
              <w:pStyle w:val="Compact"/>
              <w:jc w:val="left"/>
            </w:pPr>
            <w:r>
              <w:t xml:space="preserve">Tribe: nothing stops the well-funded from calling the next one. Lessig: bind delegates to citizens’ assemblies so that money has less to work with.</w:t>
            </w:r>
          </w:p>
        </w:tc>
      </w:tr>
      <w:tr>
        <w:tc>
          <w:tcPr/>
          <w:p>
            <w:pPr>
              <w:pStyle w:val="Compact"/>
              <w:jc w:val="left"/>
            </w:pPr>
            <w:r>
              <w:t xml:space="preserve">Should Article V itself be amended?</w:t>
            </w:r>
          </w:p>
        </w:tc>
        <w:tc>
          <w:tcPr/>
          <w:p>
            <w:pPr>
              <w:pStyle w:val="Compact"/>
              <w:jc w:val="left"/>
            </w:pPr>
            <w:r>
              <w:t xml:space="preserve">Both like the idea. Lessig: no movement can be built for it.</w:t>
            </w:r>
          </w:p>
        </w:tc>
      </w:tr>
      <w:tr>
        <w:tc>
          <w:tcPr/>
          <w:p>
            <w:pPr>
              <w:pStyle w:val="Compact"/>
              <w:jc w:val="left"/>
            </w:pPr>
            <w:r>
              <w:t xml:space="preserve">Is the problem in the Constitution?</w:t>
            </w:r>
          </w:p>
        </w:tc>
        <w:tc>
          <w:tcPr/>
          <w:p>
            <w:pPr>
              <w:pStyle w:val="Compact"/>
              <w:jc w:val="left"/>
            </w:pPr>
            <w:r>
              <w:t xml:space="preserve">Tribe: largely in Court-made doctrine. He would attack the Electoral College and even the Senate, but doubts ratification.</w:t>
            </w:r>
          </w:p>
        </w:tc>
      </w:tr>
      <w:tr>
        <w:tc>
          <w:tcPr/>
          <w:p>
            <w:pPr>
              <w:pStyle w:val="Compact"/>
              <w:jc w:val="left"/>
            </w:pPr>
            <w:r>
              <w:t xml:space="preserve">Can ordinary citizens deliberate well?</w:t>
            </w:r>
          </w:p>
        </w:tc>
        <w:tc>
          <w:tcPr/>
          <w:p>
            <w:pPr>
              <w:pStyle w:val="Compact"/>
              <w:jc w:val="left"/>
            </w:pPr>
            <w:r>
              <w:t xml:space="preserve">Both said yes from experience: Tribe in the Marshall Islands, Lessig in Mongolia.</w:t>
            </w:r>
          </w:p>
        </w:tc>
      </w:tr>
      <w:tr>
        <w:tc>
          <w:tcPr/>
          <w:p>
            <w:pPr>
              <w:pStyle w:val="Compact"/>
              <w:jc w:val="left"/>
            </w:pPr>
            <w:r>
              <w:t xml:space="preserve">Is Article V’s difficulty a flaw?</w:t>
            </w:r>
          </w:p>
        </w:tc>
        <w:tc>
          <w:tcPr/>
          <w:p>
            <w:pPr>
              <w:pStyle w:val="Compact"/>
              <w:jc w:val="left"/>
            </w:pPr>
            <w:r>
              <w:t xml:space="preserve">Tribe: mostly a benefit; most blocked amendments deserved to fail.</w:t>
            </w:r>
          </w:p>
        </w:tc>
      </w:tr>
    </w:tbl>
    <w:bookmarkEnd w:id="35"/>
    <w:sectPr/>
    <w:sectPr>
      <w:footerReference w:type="default" r:id="rIdFtr1"/>
      <w:pgSz w:w="12240" w:h="15840"/>
      <w:pgMar w:top="1440" w:right="1440" w:bottom="1440" w:left="1440" w:header="720" w:footer="6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7"/>
        <w:color w:val="777777"/>
      </w:rPr>
      <w:t xml:space="preserve">V the People Conference Summaries  ·  </w:t>
    </w:r>
    <w:r>
      <w:rPr>
        <w:sz w:val="17"/>
        <w:color w:val="777777"/>
      </w:rPr>
      <w:fldChar w:fldCharType="begin"/>
    </w:r>
    <w:r>
      <w:rPr>
        <w:sz w:val="17"/>
        <w:color w:val="777777"/>
      </w:rPr>
      <w:instrText xml:space="preserve"> PAGE </w:instrText>
    </w:r>
    <w:r>
      <w:rPr>
        <w:sz w:val="17"/>
        <w:color w:val="777777"/>
      </w:rPr>
      <w:fldChar w:fldCharType="separate"/>
    </w:r>
    <w:r>
      <w:rPr>
        <w:sz w:val="17"/>
        <w:color w:val="777777"/>
      </w:rPr>
      <w:t>1</w:t>
    </w:r>
    <w:r>
      <w:rPr>
        <w:sz w:val="17"/>
        <w:color w:val="77777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This summary is based on the automated transcript of the session. Transcript, Lessig &amp; Tribe, V the People Conference, Harvard Law School (Oct. 3, 2026) (on file with the conference organizers). Quotations are lightly corrected for obvious transcription errors. The schedule lists closing remarks by Lessig and Farris following this conversation. V the People,</w:t>
      </w:r>
      <w:r>
        <w:t xml:space="preserve"> </w:t>
      </w:r>
      <w:r>
        <w:rPr>
          <w:iCs/>
          <w:i/>
        </w:rPr>
        <w:t xml:space="preserve">Schedule</w:t>
      </w:r>
      <w:r>
        <w:t xml:space="preserve">, https://vthepeople.org/schedule.html (last visited Oct. 19, 2026). They do not appear in the transcript and are not summarized here.</w:t>
      </w:r>
    </w:p>
  </w:footnote>
  <w:footnote w:id="23">
    <w:p>
      <w:pPr>
        <w:pStyle w:val="FootnoteText"/>
      </w:pPr>
      <w:r>
        <w:rPr>
          <w:rStyle w:val="FootnoteReference"/>
        </w:rPr>
        <w:footnoteRef/>
      </w:r>
      <w:r>
        <w:t xml:space="preserve"> </w:t>
      </w:r>
      <w:r>
        <w:t xml:space="preserve">Cooper v. Aaron, 358 U.S. 1 (1958).</w:t>
      </w:r>
    </w:p>
  </w:footnote>
  <w:footnote w:id="26">
    <w:p>
      <w:pPr>
        <w:pStyle w:val="FootnoteText"/>
      </w:pPr>
      <w:r>
        <w:rPr>
          <w:rStyle w:val="FootnoteReference"/>
        </w:rPr>
        <w:footnoteRef/>
      </w:r>
      <w:r>
        <w:t xml:space="preserve"> </w:t>
      </w:r>
      <w:r>
        <w:t xml:space="preserve">Citizens United v. FEC, 558 U.S. 310 (2010); SpeechNow.org v. FEC, 599 F.3d 686 (D.C. Cir. 2010) (en banc).</w:t>
      </w:r>
    </w:p>
  </w:footnote>
  <w:footnote w:id="27">
    <w:p>
      <w:pPr>
        <w:pStyle w:val="FootnoteText"/>
      </w:pPr>
      <w:r>
        <w:rPr>
          <w:rStyle w:val="FootnoteReference"/>
        </w:rPr>
        <w:footnoteRef/>
      </w:r>
      <w:r>
        <w:t xml:space="preserve"> </w:t>
      </w:r>
      <w:r>
        <w:t xml:space="preserve">Gil Durán, The Nerd Reich: Silicon Valley Fascism and the War on Democracy (2026).</w:t>
      </w:r>
    </w:p>
  </w:footnote>
  <w:footnote w:id="33">
    <w:p>
      <w:pPr>
        <w:pStyle w:val="FootnoteText"/>
      </w:pPr>
      <w:r>
        <w:rPr>
          <w:rStyle w:val="FootnoteReference"/>
        </w:rPr>
        <w:footnoteRef/>
      </w:r>
      <w:r>
        <w:t xml:space="preserve"> </w:t>
      </w:r>
      <w:r>
        <w:t xml:space="preserve">Obergefell v. Hodges, 576 U.S. 644 (2015).</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276" w:lineRule="auto"/>
    </w:pPr>
    <w:rPr>
      <w:rFonts w:ascii="Georgia" w:cs="Georgia" w:eastAsia="Georgia" w:hAnsi="Georgia"/>
      <w:color w:val="222222"/>
      <w:sz w:val="22"/>
      <w:szCs w:val="22"/>
    </w:rPr>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40" w:before="40" w:line="252" w:lineRule="auto"/>
    </w:pPr>
    <w:rPr>
      <w:sz w:val="19"/>
      <w:szCs w:val="19"/>
    </w:rPr>
  </w:style>
  <w:style w:styleId="Title" w:type="paragraph">
    <w:name w:val="Title"/>
    <w:basedOn w:val="Normal"/>
    <w:next w:val="BodyText"/>
    <w:qFormat/>
    <w:pPr>
      <w:keepNext/>
      <w:keepLines/>
      <w:spacing w:after="80" w:before="0"/>
    </w:pPr>
    <w:rPr>
      <w:rFonts w:ascii="Georgia" w:cs="Georgia" w:eastAsia="Georgia" w:hAnsi="Georgia"/>
      <w:b/>
      <w:color w:val="1F3A5F"/>
      <w:sz w:val="40"/>
      <w:szCs w:val="40"/>
    </w:rPr>
  </w:style>
  <w:style w:styleId="Subtitle" w:type="paragraph">
    <w:name w:val="Subtitle"/>
    <w:basedOn w:val="Normal"/>
    <w:next w:val="BodyText"/>
    <w:qFormat/>
    <w:pPr>
      <w:keepNext/>
      <w:spacing w:after="240" w:before="0"/>
      <w:pBdr>
        <w:bottom w:color="1F3A5F" w:space="8" w:sz="6" w:val="single"/>
      </w:pBdr>
    </w:pPr>
    <w:rPr>
      <w:rFonts w:ascii="Georgia" w:cs="Georgia" w:eastAsia="Georgia" w:hAnsi="Georgia"/>
      <w:i/>
      <w:color w:val="555555"/>
      <w:sz w:val="22"/>
      <w:szCs w:val="22"/>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Georgia" w:cs="Georgia" w:eastAsia="Georgia" w:hAnsi="Georgia"/>
      <w:b/>
      <w:color w:val="1F3A5F"/>
      <w:sz w:val="28"/>
      <w:szCs w:val="28"/>
    </w:rPr>
  </w:style>
  <w:style w:styleId="Heading2" w:type="paragraph">
    <w:name w:val="heading 2"/>
    <w:basedOn w:val="Normal"/>
    <w:next w:val="BodyText"/>
    <w:uiPriority w:val="9"/>
    <w:unhideWhenUsed/>
    <w:qFormat/>
    <w:pPr>
      <w:keepNext/>
      <w:keepLines/>
      <w:spacing w:after="80" w:before="240"/>
      <w:outlineLvl w:val="1"/>
    </w:pPr>
    <w:rPr>
      <w:rFonts w:ascii="Georgia" w:cs="Georgia" w:eastAsia="Georgia" w:hAnsi="Georgia"/>
      <w:b/>
      <w:i/>
      <w:color w:val="1F3A5F"/>
      <w:sz w:val="23"/>
      <w:szCs w:val="23"/>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pPr>
      <w:spacing w:after="60" w:line="240" w:lineRule="auto"/>
    </w:pPr>
    <w:rPr>
      <w:sz w:val="18"/>
      <w:szCs w:val="18"/>
    </w:r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1F3A5F" w:space="0" w:sz="6" w:val="single"/>
        <w:bottom w:color="1F3A5F" w:space="0" w:sz="6" w:val="single"/>
        <w:insideH w:color="C8CED6" w:space="0" w:sz="4" w:val="single"/>
      </w:tblBorders>
      <w:tblCellMar>
        <w:top w:type="dxa" w:w="60"/>
        <w:left w:type="dxa" w:w="100"/>
        <w:bottom w:type="dxa" w:w="60"/>
        <w:right w:type="dxa" w:w="100"/>
      </w:tblCellMar>
    </w:tblPr>
    <w:tblStylePr w:type="firstRow">
      <w:rPr>
        <w:b/>
        <w:color w:val="1F3A5F"/>
      </w:rPr>
      <w:tblPr/>
      <w:tcPr>
        <w:shd w:color="auto" w:fill="EEF2F6"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Ftr1" Type="http://schemas.openxmlformats.org/officeDocument/2006/relationships/footer" Target="foot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10: Dinner Conversation with Laurence Tribe</dc:title>
  <dc:creator/>
  <cp:keywords/>
  <dcterms:created xsi:type="dcterms:W3CDTF">2026-10-19T14:17:04Z</dcterms:created>
  <dcterms:modified xsi:type="dcterms:W3CDTF">2026-10-19T14:17:04Z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 the People Conference on an Article V Convention · Harvard Law School · Saturday, October 3, 2026</vt:lpwstr>
  </property>
</Properties>
</file>