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99384E" w14:textId="77777777" w:rsidR="00C15F4F" w:rsidRDefault="00000000">
      <w:pPr>
        <w:pStyle w:val="Title"/>
      </w:pPr>
      <w:r>
        <w:t>Session 9: Panel V, The Future: Imagining an Article V Convention in 2030</w:t>
      </w:r>
    </w:p>
    <w:p w14:paraId="4811CE8B" w14:textId="77777777" w:rsidR="00C15F4F" w:rsidRDefault="00000000">
      <w:pPr>
        <w:pStyle w:val="Subtitle"/>
      </w:pPr>
      <w:r>
        <w:t>V the People Conference on an Article V Convention · Harvard Law School · Saturday, October 3, 2026</w:t>
      </w:r>
    </w:p>
    <w:tbl>
      <w:tblPr>
        <w:tblStyle w:val="Table"/>
        <w:tblW w:w="5000" w:type="pct"/>
        <w:tblLook w:val="0000" w:firstRow="0" w:lastRow="0" w:firstColumn="0" w:lastColumn="0" w:noHBand="0" w:noVBand="0"/>
      </w:tblPr>
      <w:tblGrid>
        <w:gridCol w:w="1143"/>
        <w:gridCol w:w="8417"/>
      </w:tblGrid>
      <w:tr w:rsidR="00C15F4F" w14:paraId="5E36B96D" w14:textId="77777777">
        <w:tc>
          <w:tcPr>
            <w:tcW w:w="0" w:type="auto"/>
          </w:tcPr>
          <w:p w14:paraId="6E2D8BE6" w14:textId="77777777" w:rsidR="00C15F4F" w:rsidRDefault="00000000">
            <w:pPr>
              <w:pStyle w:val="Compact"/>
            </w:pPr>
            <w:r>
              <w:t>Program slot</w:t>
            </w:r>
          </w:p>
        </w:tc>
        <w:tc>
          <w:tcPr>
            <w:tcW w:w="0" w:type="auto"/>
          </w:tcPr>
          <w:p w14:paraId="645CFBDA" w14:textId="77777777" w:rsidR="00C15F4F" w:rsidRDefault="00000000">
            <w:pPr>
              <w:pStyle w:val="Compact"/>
            </w:pPr>
            <w:r>
              <w:t>5:30 p.m.</w:t>
            </w:r>
          </w:p>
        </w:tc>
      </w:tr>
      <w:tr w:rsidR="00C15F4F" w14:paraId="26C75674" w14:textId="77777777">
        <w:tc>
          <w:tcPr>
            <w:tcW w:w="0" w:type="auto"/>
          </w:tcPr>
          <w:p w14:paraId="747485A1" w14:textId="77777777" w:rsidR="00C15F4F" w:rsidRDefault="00000000">
            <w:pPr>
              <w:pStyle w:val="Compact"/>
            </w:pPr>
            <w:r>
              <w:t>Panelists</w:t>
            </w:r>
          </w:p>
        </w:tc>
        <w:tc>
          <w:tcPr>
            <w:tcW w:w="0" w:type="auto"/>
          </w:tcPr>
          <w:p w14:paraId="35375512" w14:textId="77777777" w:rsidR="00C15F4F" w:rsidRDefault="00000000">
            <w:pPr>
              <w:pStyle w:val="Compact"/>
            </w:pPr>
            <w:r>
              <w:t>Hélène Landemore, Professor of Political Science, Yale University. Alice Siu, Associate Director, Deliberative Democracy Lab, Stanford University. Nicholas Coccoma, organizer and writer, co-founder of Assemble America. W. Bruce Lee, Executive Director, National Federalism Commission. William Fruth, President, POLICOM Corporation, and national vice chair of the Balanced Budget Amendment Task Force.</w:t>
            </w:r>
          </w:p>
        </w:tc>
      </w:tr>
      <w:tr w:rsidR="00C15F4F" w14:paraId="27414873" w14:textId="77777777">
        <w:tc>
          <w:tcPr>
            <w:tcW w:w="0" w:type="auto"/>
          </w:tcPr>
          <w:p w14:paraId="484C5B7C" w14:textId="77777777" w:rsidR="00C15F4F" w:rsidRDefault="00000000">
            <w:pPr>
              <w:pStyle w:val="Compact"/>
            </w:pPr>
            <w:r>
              <w:t>Moderator</w:t>
            </w:r>
          </w:p>
        </w:tc>
        <w:tc>
          <w:tcPr>
            <w:tcW w:w="0" w:type="auto"/>
          </w:tcPr>
          <w:p w14:paraId="345E787E" w14:textId="77777777" w:rsidR="00C15F4F" w:rsidRDefault="00000000">
            <w:pPr>
              <w:pStyle w:val="Compact"/>
            </w:pPr>
            <w:r>
              <w:t>Archon Fung, Winthrop Laflin McCormack Professor of Citizenship and Self-Government, Harvard Kennedy School</w:t>
            </w:r>
          </w:p>
        </w:tc>
      </w:tr>
      <w:tr w:rsidR="00C15F4F" w14:paraId="7EC2D773" w14:textId="77777777">
        <w:tc>
          <w:tcPr>
            <w:tcW w:w="0" w:type="auto"/>
          </w:tcPr>
          <w:p w14:paraId="0E8532FB" w14:textId="77777777" w:rsidR="00C15F4F" w:rsidRDefault="00000000">
            <w:pPr>
              <w:pStyle w:val="Compact"/>
            </w:pPr>
            <w:r>
              <w:t>Recording</w:t>
            </w:r>
          </w:p>
        </w:tc>
        <w:tc>
          <w:tcPr>
            <w:tcW w:w="0" w:type="auto"/>
          </w:tcPr>
          <w:p w14:paraId="27017A70" w14:textId="77777777" w:rsidR="00C15F4F" w:rsidRDefault="00000000">
            <w:pPr>
              <w:pStyle w:val="Compact"/>
            </w:pPr>
            <w:r>
              <w:t>About 88 minutes, including Lessig’s remarks of thanks</w:t>
            </w:r>
          </w:p>
        </w:tc>
      </w:tr>
    </w:tbl>
    <w:p w14:paraId="13D062E5" w14:textId="77777777" w:rsidR="00C15F4F" w:rsidRDefault="00000000">
      <w:pPr>
        <w:pStyle w:val="Heading1"/>
      </w:pPr>
      <w:bookmarkStart w:id="0" w:name="in-brief"/>
      <w:r>
        <w:t>In brief</w:t>
      </w:r>
    </w:p>
    <w:p w14:paraId="3C6EB84B" w14:textId="77777777" w:rsidR="00C15F4F" w:rsidRDefault="00000000">
      <w:pPr>
        <w:pStyle w:val="FirstParagraph"/>
      </w:pPr>
      <w:r>
        <w:t>Archon Fung set the final panel a precise task. The conference had surfaced two fears about a convention: that it would run away, and that it would be captured by organized money or one side of politics. Is there a version of a 2030 convention, he asked, that could satisfy the skeptics on both counts? The panel answered in two voices that did not meet.</w:t>
      </w:r>
      <w:r>
        <w:rPr>
          <w:rStyle w:val="FootnoteReference"/>
        </w:rPr>
        <w:footnoteReference w:id="1"/>
      </w:r>
    </w:p>
    <w:p w14:paraId="7EA0EB8F" w14:textId="77777777" w:rsidR="00C15F4F" w:rsidRDefault="00000000">
      <w:pPr>
        <w:pStyle w:val="BodyText"/>
      </w:pPr>
      <w:r>
        <w:t>The deliberative democrats, Hélène Landemore, Alice Siu, and Nicholas Coccoma, offered concrete designs built on sortition: state citizens’ assemblies that set priorities and red lines and then send delegates chosen by lot; a convention that governs itself; or a national body of about 500 randomly selected citizens, modeled on the jury. The two officials closest to running an actual convention, Bruce Lee of the National Federalism Commission and William Fruth of the balanced budget campaign, said each legislature will decide how to choose its delegates, that the convention will vote one state, one vote, and that legislatures will choose people with expertise who are committed to the rules. Fruth called the capture concern “fantasy.”</w:t>
      </w:r>
    </w:p>
    <w:p w14:paraId="7E79D6BD" w14:textId="77777777" w:rsidR="00C15F4F" w:rsidRDefault="00000000">
      <w:pPr>
        <w:pStyle w:val="BodyText"/>
      </w:pPr>
      <w:r>
        <w:t>Lessig, speaking from the floor, acknowledged the gap. He said there is “zero chance” that legislatures will choose delegates by lot, and proposed instead that citizens’ assemblies be run in parallel to the legislative process, building a movement that could support a thirteen-state veto of any amendment lacking democratic accountability.</w:t>
      </w:r>
    </w:p>
    <w:p w14:paraId="2330125D" w14:textId="77777777" w:rsidR="00C15F4F" w:rsidRDefault="00000000">
      <w:pPr>
        <w:pStyle w:val="Heading1"/>
      </w:pPr>
      <w:bookmarkStart w:id="1" w:name="X042ad2ff145c4ebb53977943d01cc75ccd9b908"/>
      <w:bookmarkEnd w:id="0"/>
      <w:r>
        <w:lastRenderedPageBreak/>
        <w:t>Before the panel: Lessig on funding and balance</w:t>
      </w:r>
    </w:p>
    <w:p w14:paraId="063D3D73" w14:textId="1009B5FE" w:rsidR="00C15F4F" w:rsidRDefault="00000000">
      <w:pPr>
        <w:pStyle w:val="FirstParagraph"/>
      </w:pPr>
      <w:r>
        <w:t>Lessig opened with thanks and two responses to the afternoon’s criticisms. He disclosed that the conference was funded by the MacArthur Foundation, Joe Penland, and Greg Wen</w:t>
      </w:r>
      <w:r w:rsidR="00150452">
        <w:t>dt</w:t>
      </w:r>
      <w:r>
        <w:t xml:space="preserve">, and that the </w:t>
      </w:r>
      <w:r>
        <w:rPr>
          <w:i/>
          <w:iCs/>
        </w:rPr>
        <w:t>Harvard Journal on Legislation</w:t>
      </w:r>
      <w:r>
        <w:t xml:space="preserve"> will publish the panelists’ papers. He credited Bruce Lee with urging him to hold the conference again. And he said Feingold had been “a little unfair” in calling the program slanted: it began with history, including Lepore, whom he said was not a convention supporter, and included pro-convention and anti-convention panels.</w:t>
      </w:r>
    </w:p>
    <w:p w14:paraId="766B1913" w14:textId="77777777" w:rsidR="00C15F4F" w:rsidRDefault="00000000">
      <w:pPr>
        <w:pStyle w:val="Heading1"/>
      </w:pPr>
      <w:bookmarkStart w:id="2" w:name="context"/>
      <w:bookmarkEnd w:id="1"/>
      <w:r>
        <w:t>Context</w:t>
      </w:r>
    </w:p>
    <w:p w14:paraId="05ADE5DE" w14:textId="77777777" w:rsidR="00C15F4F" w:rsidRDefault="00000000">
      <w:pPr>
        <w:pStyle w:val="FirstParagraph"/>
      </w:pPr>
      <w:r>
        <w:t>The previous two panels set up this one. The skeptics argued that a convention would be run by partisan legislatures under one state, one vote. The comparative panel showed processes that used randomly selected citizens and popular votes to build legitimacy. Fung, who disclosed that he sits on Common Cause’s national governing board, used the panel to test whether those designs could meet the skeptics’ objections. He set aside, explicitly, the question of whether the designs are politically achievable.</w:t>
      </w:r>
    </w:p>
    <w:p w14:paraId="7B5821C7" w14:textId="77777777" w:rsidR="00C15F4F" w:rsidRDefault="00000000">
      <w:pPr>
        <w:pStyle w:val="Heading1"/>
      </w:pPr>
      <w:bookmarkStart w:id="3" w:name="the-panel"/>
      <w:bookmarkEnd w:id="2"/>
      <w:r>
        <w:t>The panel</w:t>
      </w:r>
    </w:p>
    <w:p w14:paraId="7F14CEF8" w14:textId="77777777" w:rsidR="00C15F4F" w:rsidRDefault="00000000">
      <w:pPr>
        <w:pStyle w:val="Heading2"/>
      </w:pPr>
      <w:bookmarkStart w:id="4" w:name="Xc6fe452f48d6f4072d70eb732f76da584c1a68e"/>
      <w:r>
        <w:t>The essential features of a 2030 convention</w:t>
      </w:r>
    </w:p>
    <w:p w14:paraId="5C54EDB6" w14:textId="77777777" w:rsidR="00C15F4F" w:rsidRDefault="00000000">
      <w:pPr>
        <w:pStyle w:val="FirstParagraph"/>
      </w:pPr>
      <w:r>
        <w:rPr>
          <w:b/>
          <w:bCs/>
        </w:rPr>
        <w:t>Fruth</w:t>
      </w:r>
      <w:r>
        <w:t xml:space="preserve"> said the convention will be “a convention of state legislatures, as envisioned by the framers.” Its rules were left out of Article V because everyone in 1787 knew them. They follow the conventions of states, including the 1861 Peace Conference: voting by states, each state choosing its own delegation, and a scope limited to the subject of the applications. He referred to the rules adopted by state legislatures at the 2017 Phoenix convention, which was prepared because the balanced budget campaign was then close to 34.</w:t>
      </w:r>
    </w:p>
    <w:p w14:paraId="4130556E" w14:textId="77777777" w:rsidR="00C15F4F" w:rsidRDefault="00000000">
      <w:pPr>
        <w:pStyle w:val="BodyText"/>
      </w:pPr>
      <w:r>
        <w:rPr>
          <w:b/>
          <w:bCs/>
        </w:rPr>
        <w:t>Siu</w:t>
      </w:r>
      <w:r>
        <w:t xml:space="preserve"> named two features: random sampling to produce a scientifically representative group, and real deliberation, moderated and facilitated, with measured outcomes. She described Mongolia, which in 2017 enacted a law requiring a national deliberative poll before parliament considers constitutional amendments. Two rounds of amendments followed, the second expanding parliament from 76 to 126 seats with a mixed electoral system.</w:t>
      </w:r>
      <w:r>
        <w:rPr>
          <w:rStyle w:val="FootnoteReference"/>
        </w:rPr>
        <w:footnoteReference w:id="2"/>
      </w:r>
    </w:p>
    <w:p w14:paraId="764A2F87" w14:textId="77777777" w:rsidR="00C15F4F" w:rsidRDefault="00000000">
      <w:pPr>
        <w:pStyle w:val="BodyText"/>
      </w:pPr>
      <w:r>
        <w:rPr>
          <w:b/>
          <w:bCs/>
        </w:rPr>
        <w:t>Lee</w:t>
      </w:r>
      <w:r>
        <w:t xml:space="preserve"> said the National Federalism Commission, created by the states in 2017, is a nonpartisan governmental body, not an advocacy group. Its job is to give the states a forum, speak to Congress, and ensure that any convention is “fair, impartial, run decently, run orderly.”</w:t>
      </w:r>
    </w:p>
    <w:p w14:paraId="170E54B1" w14:textId="77777777" w:rsidR="00C15F4F" w:rsidRDefault="00000000">
      <w:pPr>
        <w:pStyle w:val="BodyText"/>
      </w:pPr>
      <w:r>
        <w:rPr>
          <w:b/>
          <w:bCs/>
        </w:rPr>
        <w:lastRenderedPageBreak/>
        <w:t>Landemore</w:t>
      </w:r>
      <w:r>
        <w:t xml:space="preserve"> described her new book and her recent experience.</w:t>
      </w:r>
      <w:r>
        <w:rPr>
          <w:rStyle w:val="FootnoteReference"/>
        </w:rPr>
        <w:footnoteReference w:id="3"/>
      </w:r>
      <w:r>
        <w:t xml:space="preserve"> She helped run France’s citizens’ convention on end-of-life care and is now finishing a 100-member citizens’ assembly on property taxes in Connecticut. On its first day, members were asked whether they wanted to govern their own process or leave the calls to experts; 89 voted to govern themselves, 8 against, and one abstained.</w:t>
      </w:r>
      <w:r>
        <w:rPr>
          <w:rStyle w:val="FootnoteReference"/>
        </w:rPr>
        <w:footnoteReference w:id="4"/>
      </w:r>
      <w:r>
        <w:t xml:space="preserve"> Her lessons: lot beats election for representativeness, deliberation, and problem-solving, and self-governance protects an assembly against capture by its organizers. Her design for a convention starts with state citizens’ assemblies of 100 to 150 people that set state priorities and red lines. Each assembly draws its delegation by lot. Delegates report back and can be recalled if they cross a red line. The convention governs itself, with leadership chosen by lot and rotating.</w:t>
      </w:r>
    </w:p>
    <w:p w14:paraId="1BD3CD84" w14:textId="77777777" w:rsidR="00C15F4F" w:rsidRDefault="00000000">
      <w:pPr>
        <w:pStyle w:val="BodyText"/>
      </w:pPr>
      <w:r>
        <w:rPr>
          <w:b/>
          <w:bCs/>
        </w:rPr>
        <w:t>Coccoma</w:t>
      </w:r>
      <w:r>
        <w:t xml:space="preserve"> grounded his design in three ideals, democracy, the common good, and “civic love,” and said Americans already practice them in the jury. He proposed three jury-like features: selection by lottery, informed deliberation toward consensus, and multiple bodies with different tasks, like grand and trial juries. He cited Terry Bouricius’s work on multi-body sortition.</w:t>
      </w:r>
      <w:r>
        <w:rPr>
          <w:rStyle w:val="FootnoteReference"/>
        </w:rPr>
        <w:footnoteReference w:id="5"/>
      </w:r>
      <w:r>
        <w:t xml:space="preserve"> He disputed Sununu’s account of the republic: “in a republic, we the people are sovereign,” not legislatures or courts.</w:t>
      </w:r>
    </w:p>
    <w:p w14:paraId="277FF1CF" w14:textId="77777777" w:rsidR="00C15F4F" w:rsidRDefault="00000000">
      <w:pPr>
        <w:pStyle w:val="Heading2"/>
      </w:pPr>
      <w:bookmarkStart w:id="5" w:name="who-should-be-the-delegates"/>
      <w:bookmarkEnd w:id="4"/>
      <w:r>
        <w:t>Who should be the delegates?</w:t>
      </w:r>
    </w:p>
    <w:p w14:paraId="726C5628" w14:textId="77777777" w:rsidR="00C15F4F" w:rsidRDefault="00000000">
      <w:pPr>
        <w:pStyle w:val="FirstParagraph"/>
      </w:pPr>
      <w:r>
        <w:t>Fung asked Lee and Fruth whether, in their ideal, they would accept random selection, given its value as an anti-corruption device. Lee said he must deal with “the rules of the road right now.” He described Congress as “highly dysfunctional,” quoting a senior House Democrat’s view that members are either mature governors or “performance artists,” and said it falls to the states to rein Congress in.</w:t>
      </w:r>
    </w:p>
    <w:p w14:paraId="41323311" w14:textId="77777777" w:rsidR="00C15F4F" w:rsidRDefault="00000000">
      <w:pPr>
        <w:pStyle w:val="BodyText"/>
      </w:pPr>
      <w:r>
        <w:t>Fruth said the balanced budget amendment is complex, and every word must be tested for its fiscal effects, so legislatures should choose “the smartest people in the room,” committed to the convention’s rules. Asked about capture, he said, “corruption is not an issue… it’s fantasy.” Legislatures will treat the convention as the most important political event since the founding.</w:t>
      </w:r>
    </w:p>
    <w:p w14:paraId="3DDDFAA7" w14:textId="77777777" w:rsidR="00C15F4F" w:rsidRDefault="00000000">
      <w:pPr>
        <w:pStyle w:val="BodyText"/>
      </w:pPr>
      <w:r>
        <w:t>Landemore answered the expertise objection. France has started a citizens’ assembly on public finances. “We cannot say we’re committed to democracy if we think these kind of issues are beyond the reach of average Americans.” About 800 mini-publics worldwide, on subjects from nuclear waste to abortion, show that citizens with time and access to experts decide as well as politicians and lawyers.</w:t>
      </w:r>
    </w:p>
    <w:p w14:paraId="07E5AC97" w14:textId="77777777" w:rsidR="00C15F4F" w:rsidRDefault="00000000">
      <w:pPr>
        <w:pStyle w:val="Heading2"/>
      </w:pPr>
      <w:bookmarkStart w:id="6" w:name="how-should-votes-be-apportioned"/>
      <w:bookmarkEnd w:id="5"/>
      <w:r>
        <w:t>How should votes be apportioned?</w:t>
      </w:r>
    </w:p>
    <w:p w14:paraId="111AE11E" w14:textId="77777777" w:rsidR="00C15F4F" w:rsidRDefault="00000000">
      <w:pPr>
        <w:pStyle w:val="FirstParagraph"/>
      </w:pPr>
      <w:r>
        <w:t xml:space="preserve">Fung asked whether delegations should be equal by state, proportional to population, or in between. Coccoma proposed one delegate, one vote, as in the constitution-making of India, </w:t>
      </w:r>
      <w:r>
        <w:lastRenderedPageBreak/>
        <w:t>Brazil, and South Africa, with about 500 citizens chosen by lot from the whole national population, including the territories, the District of Columbia, Native nations, and citizens abroad. He gave three reasons: a random sample is an “exact portrait of the people,” in John Adams’s phrase; delegates tied to states will advance state interests, as Madison complained in 1787; and lotteries select more humble and open people than elections do. Siu agreed and said her lab has shown that representative samples can deliberate well even in countries with low literacy. Landemore offered a compromise that respects the states: 15 to 25 delegates per state, adding one per 4 million residents, for a convention of about 833.</w:t>
      </w:r>
    </w:p>
    <w:p w14:paraId="4F3B0195" w14:textId="77777777" w:rsidR="00C15F4F" w:rsidRDefault="00000000">
      <w:pPr>
        <w:pStyle w:val="BodyText"/>
      </w:pPr>
      <w:r>
        <w:t>Fruth said each state will decide how it chooses its delegates and how many it sends, but each state gets one vote. If votes were by population, the threshold would already have been reached; Article V counts states. Lee said the ideas were valuable but that some would require amending Article V, and that the Commission expects to help administer any convention.</w:t>
      </w:r>
    </w:p>
    <w:p w14:paraId="25B8881F" w14:textId="77777777" w:rsidR="00C15F4F" w:rsidRDefault="00000000">
      <w:pPr>
        <w:pStyle w:val="Heading2"/>
      </w:pPr>
      <w:bookmarkStart w:id="7" w:name="public-involvement-during-the-convention"/>
      <w:bookmarkEnd w:id="6"/>
      <w:r>
        <w:t>Public involvement during the convention</w:t>
      </w:r>
    </w:p>
    <w:p w14:paraId="334AE2AE" w14:textId="77777777" w:rsidR="00C15F4F" w:rsidRDefault="00000000">
      <w:pPr>
        <w:pStyle w:val="FirstParagraph"/>
      </w:pPr>
      <w:r>
        <w:t>Fung described constitution-making as an hourglass: wide at the application stage, narrow at the convention, wide again at ratification. Iceland kept the middle wide. Fruth described community forums before the convention, run by legislators in their districts, whose results would become binding instructions to each delegation, for example forbidding support for a balanced budget amendment without a limit on taxes. During the convention itself, deliberation would be a “contained laboratory.” Siu supported community forums and added online crowdsourcing through her lab’s AI-assisted deliberation platform. Lee said the Commission will propose model approaches, but each legislature will decide.</w:t>
      </w:r>
    </w:p>
    <w:p w14:paraId="5AE709BF" w14:textId="77777777" w:rsidR="00C15F4F" w:rsidRDefault="00000000">
      <w:pPr>
        <w:pStyle w:val="BodyText"/>
      </w:pPr>
      <w:r>
        <w:t xml:space="preserve">Landemore added a caution. Publishing drafts early can help, as in Iceland, where public comments added rights. But it also lets interest groups organize against threatening provisions, as Iceland’s fishing interests did against public ownership of natural resources, and her Connecticut assembly chose not to publish early. Coccoma suggested three mechanisms: citizen panels of twelve that each submit one proposal; a national book of grievances, like France’s </w:t>
      </w:r>
      <w:r>
        <w:rPr>
          <w:i/>
          <w:iCs/>
        </w:rPr>
        <w:t>cahiers de doléances</w:t>
      </w:r>
      <w:r>
        <w:t>; and a convention that travels the country, as South Africa’s post-apartheid assembly did.</w:t>
      </w:r>
    </w:p>
    <w:p w14:paraId="6C6DCABD" w14:textId="77777777" w:rsidR="00C15F4F" w:rsidRDefault="00000000">
      <w:pPr>
        <w:pStyle w:val="Heading2"/>
      </w:pPr>
      <w:bookmarkStart w:id="8" w:name="ratification"/>
      <w:bookmarkEnd w:id="7"/>
      <w:r>
        <w:t>Ratification</w:t>
      </w:r>
    </w:p>
    <w:p w14:paraId="4B079325" w14:textId="77777777" w:rsidR="00C15F4F" w:rsidRDefault="00000000">
      <w:pPr>
        <w:pStyle w:val="FirstParagraph"/>
      </w:pPr>
      <w:r>
        <w:t>Fung asked about Suiter’s proposal, which he described as a version of Lessig’s: ratification by state conventions composed of randomly selected citizens. Fruth said each legislature decides by statute what its ratifying convention looks like, and that some have adopted what he called the Florida model, in which the legislature itself serves as the convention. Siu supported the proposal. Coccoma cautioned that the 1933 ratifying conventions for the Twenty-First Amendment were rubber stamps: delegates were elected on pledges, and many conventions lasted under an hour. He proposed ratifying juries of about 1,000 randomly selected citizens who would hear advocates on each side and vote their conscience. Lee favored ratification by convention and stressed that ratification through 76 legislative chambers in 38 states is a high bar.</w:t>
      </w:r>
    </w:p>
    <w:p w14:paraId="7CA4CE3A" w14:textId="77777777" w:rsidR="00C15F4F" w:rsidRDefault="00000000">
      <w:pPr>
        <w:pStyle w:val="Heading2"/>
      </w:pPr>
      <w:bookmarkStart w:id="9" w:name="lessigs-intervention"/>
      <w:bookmarkEnd w:id="8"/>
      <w:r>
        <w:lastRenderedPageBreak/>
        <w:t>Lessig’s intervention</w:t>
      </w:r>
    </w:p>
    <w:p w14:paraId="59887477" w14:textId="77777777" w:rsidR="00C15F4F" w:rsidRDefault="00000000">
      <w:pPr>
        <w:pStyle w:val="FirstParagraph"/>
      </w:pPr>
      <w:r>
        <w:t>Lessig said the last two panels had shown that the questions the skeptics listed can be answered by building institutions: “you just decide.” He then widened the choices. Waiting for legislatures to adopt sortition is not the only path; he is “very skeptical that state legislatures will embrace the idea of sortition in any form… there’s zero chance.” Instead, citizens’ assemblies could be set up in the states on the balanced budget, term limits, or money in politics, run independently, and publish their results. Multiplying those parallel processes would create a political movement. That movement could support a thirteen-state commitment not to ratify any proposal that fails “some minimal level of democratic accountability,” such as review by a citizens’ assembly. “We could either take the view there are a million questions we can’t answer them. Let’s just be against it, or take the view there are a million questions, let’s answer them.”</w:t>
      </w:r>
    </w:p>
    <w:p w14:paraId="62E8DA8F" w14:textId="77777777" w:rsidR="00C15F4F" w:rsidRDefault="00000000">
      <w:pPr>
        <w:pStyle w:val="Heading2"/>
      </w:pPr>
      <w:bookmarkStart w:id="10" w:name="questions-and-closing-statements"/>
      <w:bookmarkEnd w:id="9"/>
      <w:r>
        <w:t>Questions and closing statements</w:t>
      </w:r>
    </w:p>
    <w:p w14:paraId="1A159E48" w14:textId="77777777" w:rsidR="00C15F4F" w:rsidRDefault="00000000">
      <w:pPr>
        <w:pStyle w:val="FirstParagraph"/>
      </w:pPr>
      <w:r>
        <w:t>An audience member described using AI agents to build a database of 1,600 organizations and legislators involved in amendment efforts. Nevin Kamath of the Human Liberty Project asked about amending Article V itself. A former New England town meeting moderator asked what would keep a convention within its warrant without relying on judicial review.</w:t>
      </w:r>
    </w:p>
    <w:p w14:paraId="4A65ED13" w14:textId="77777777" w:rsidR="00C15F4F" w:rsidRDefault="00000000">
      <w:pPr>
        <w:pStyle w:val="BodyText"/>
      </w:pPr>
      <w:r>
        <w:t>Fruth answered the last question with three guardrails: the applications limit the convention to one subject; legislatures will commission delegates subject to recall if they stray; and Rule 1 of the Phoenix rules confines the convention to the balanced budget amendment and lets the presiding officer silence violators. “The biggest reason why it won’t run away is because there isn’t any political will to do it.” He said Phoenix was called to prove a convention of states could stay on subject, and it did.</w:t>
      </w:r>
    </w:p>
    <w:p w14:paraId="4344BF3A" w14:textId="77777777" w:rsidR="00C15F4F" w:rsidRDefault="00000000">
      <w:pPr>
        <w:pStyle w:val="BodyText"/>
      </w:pPr>
      <w:r>
        <w:t>Siu urged bringing deliberation about Article V into schools, as Google brought Chromebooks into classrooms. Lee said the debt crisis is urgent and described the Commission’s work with the House Judiciary Committee to reconcile congressional records with state records. He said the Commission found 15 fiscal applications missing from House records, announced its findings on September 17, 2025, and concluded that 34 states had applied in 1979 and again in 2016 and 2017, counting some open calls. He said those memorials had still not been posted a year later. He described the Commission’s interstate compact, which would bind member states to one state, one vote, to the convention’s topic, to recall of straying delegates, and to no change in those rules, taking effect when 26 states join.</w:t>
      </w:r>
      <w:r>
        <w:rPr>
          <w:rStyle w:val="FootnoteReference"/>
        </w:rPr>
        <w:footnoteReference w:id="6"/>
      </w:r>
      <w:r>
        <w:t xml:space="preserve"> He said 17 states have faithful delegate laws. Landemore said the AI transition may make all of this moot and described her proposal with Audrey Tang for a standing global citizens’ assembly on AI. Coccoma told a story of jury duty in Boston, in which a juror whose cap had made him expect trouble resolved a deadlock with patient questions and later quietly paid for the jurors’ lunch.</w:t>
      </w:r>
    </w:p>
    <w:p w14:paraId="3F68FF4B" w14:textId="77777777" w:rsidR="00C15F4F" w:rsidRDefault="00000000">
      <w:pPr>
        <w:pStyle w:val="BodyText"/>
      </w:pPr>
      <w:r>
        <w:t>Fung closed: there is “some unanimity that our Constitution needs some serious work, but not quite unanimity about the desirability of an Article Five convention process.”</w:t>
      </w:r>
    </w:p>
    <w:p w14:paraId="3A16B750" w14:textId="77777777" w:rsidR="00C15F4F" w:rsidRDefault="00000000">
      <w:pPr>
        <w:pStyle w:val="Heading1"/>
      </w:pPr>
      <w:bookmarkStart w:id="11" w:name="how-the-debate-stands-after-session-9"/>
      <w:bookmarkEnd w:id="3"/>
      <w:bookmarkEnd w:id="10"/>
      <w:r>
        <w:lastRenderedPageBreak/>
        <w:t>How the debate stands after Session 9</w:t>
      </w:r>
    </w:p>
    <w:p w14:paraId="14835474" w14:textId="77777777" w:rsidR="00C15F4F" w:rsidRDefault="00000000">
      <w:pPr>
        <w:pStyle w:val="FirstParagraph"/>
      </w:pPr>
      <w:r>
        <w:t>Fung’s question was the right one, and the panel’s answer was candid even if unintended. Designs exist that would meet the skeptics’ main objections. A convention of randomly selected citizens, or delegations drawn by lot from state assemblies and bound to their red lines, would be hard to capture and would not depend on gerrymandered legislatures. Coccoma’s national body would also include the territories and tribes, answering Daniel’s question from the previous panel. Landemore’s compromise allocation addresses one state, one vote.</w:t>
      </w:r>
    </w:p>
    <w:p w14:paraId="0D4B9832" w14:textId="77777777" w:rsidR="00C15F4F" w:rsidRDefault="00000000">
      <w:pPr>
        <w:pStyle w:val="BodyText"/>
      </w:pPr>
      <w:r>
        <w:t>But the people building the actual convention said they will not use those designs, and at least one of them denied that capture is a problem. That is the gap the skeptics identified in Panel III. Lessig’s response was to concede the legal path and propose a political one: parallel citizens’ assemblies and a thirteen-state veto. That approach does not depend on legislatures giving up their power to choose delegates. It does depend on a movement that does not yet exist, and the thirteen-state veto still requires thirteen legislatures to commit in advance.</w:t>
      </w:r>
    </w:p>
    <w:p w14:paraId="281A7687" w14:textId="77777777" w:rsidR="00C15F4F" w:rsidRDefault="00000000">
      <w:pPr>
        <w:pStyle w:val="BodyText"/>
      </w:pPr>
      <w:r>
        <w:t>No skeptic sat on this panel, so whether these designs would satisfy them was not tested in the room. The moderator’s disclosure was the only voice of Common Cause.</w:t>
      </w:r>
    </w:p>
    <w:p w14:paraId="1A41F402" w14:textId="77777777" w:rsidR="00C15F4F" w:rsidRDefault="00000000">
      <w:pPr>
        <w:pStyle w:val="BodyText"/>
      </w:pPr>
      <w:r>
        <w:t>Two details deserve note. Fruth’s three guardrails, applications, recall, and convention rules, are the same safeguards the skeptics called paper. And Lee’s counting claim, that 34 states were reached in 1979 by including open calls, again sits uneasily with the claim that applications define the convention’s subject. Fruth’s own comment that the threshold would already have been met if counted by population shows how much the outcome depends on counting rules.</w:t>
      </w:r>
    </w:p>
    <w:tbl>
      <w:tblPr>
        <w:tblStyle w:val="Table"/>
        <w:tblW w:w="5000" w:type="pct"/>
        <w:tblLook w:val="0020" w:firstRow="1" w:lastRow="0" w:firstColumn="0" w:lastColumn="0" w:noHBand="0" w:noVBand="0"/>
      </w:tblPr>
      <w:tblGrid>
        <w:gridCol w:w="2535"/>
        <w:gridCol w:w="7025"/>
      </w:tblGrid>
      <w:tr w:rsidR="00C15F4F" w14:paraId="58F63D0E" w14:textId="77777777" w:rsidTr="00C15F4F">
        <w:trPr>
          <w:cnfStyle w:val="100000000000" w:firstRow="1" w:lastRow="0" w:firstColumn="0" w:lastColumn="0" w:oddVBand="0" w:evenVBand="0" w:oddHBand="0" w:evenHBand="0" w:firstRowFirstColumn="0" w:firstRowLastColumn="0" w:lastRowFirstColumn="0" w:lastRowLastColumn="0"/>
          <w:tblHeader/>
        </w:trPr>
        <w:tc>
          <w:tcPr>
            <w:tcW w:w="0" w:type="auto"/>
          </w:tcPr>
          <w:p w14:paraId="6F3AB7D5" w14:textId="77777777" w:rsidR="00C15F4F" w:rsidRDefault="00000000">
            <w:pPr>
              <w:pStyle w:val="Compact"/>
            </w:pPr>
            <w:r>
              <w:t>Question</w:t>
            </w:r>
          </w:p>
        </w:tc>
        <w:tc>
          <w:tcPr>
            <w:tcW w:w="0" w:type="auto"/>
          </w:tcPr>
          <w:p w14:paraId="3AAB4EAE" w14:textId="77777777" w:rsidR="00C15F4F" w:rsidRDefault="00000000">
            <w:pPr>
              <w:pStyle w:val="Compact"/>
            </w:pPr>
            <w:r>
              <w:t>Where it stands after Session 9</w:t>
            </w:r>
          </w:p>
        </w:tc>
      </w:tr>
      <w:tr w:rsidR="00C15F4F" w14:paraId="4F3CA2B5" w14:textId="77777777">
        <w:tc>
          <w:tcPr>
            <w:tcW w:w="0" w:type="auto"/>
          </w:tcPr>
          <w:p w14:paraId="799125BD" w14:textId="77777777" w:rsidR="00C15F4F" w:rsidRDefault="00000000">
            <w:pPr>
              <w:pStyle w:val="Compact"/>
            </w:pPr>
            <w:r>
              <w:t>Is there a design that satisfies the skeptics?</w:t>
            </w:r>
          </w:p>
        </w:tc>
        <w:tc>
          <w:tcPr>
            <w:tcW w:w="0" w:type="auto"/>
          </w:tcPr>
          <w:p w14:paraId="5061B3D4" w14:textId="77777777" w:rsidR="00C15F4F" w:rsidRDefault="00000000">
            <w:pPr>
              <w:pStyle w:val="Compact"/>
            </w:pPr>
            <w:r>
              <w:t>Sortition-based designs were offered for every stage. They were not tested against skeptics in the room, and the convention’s likely administrators rejected them.</w:t>
            </w:r>
          </w:p>
        </w:tc>
      </w:tr>
      <w:tr w:rsidR="00C15F4F" w14:paraId="30EB685D" w14:textId="77777777">
        <w:tc>
          <w:tcPr>
            <w:tcW w:w="0" w:type="auto"/>
          </w:tcPr>
          <w:p w14:paraId="643AD9A9" w14:textId="77777777" w:rsidR="00C15F4F" w:rsidRDefault="00000000">
            <w:pPr>
              <w:pStyle w:val="Compact"/>
            </w:pPr>
            <w:r>
              <w:t>Who would serve, and how would they be chosen?</w:t>
            </w:r>
          </w:p>
        </w:tc>
        <w:tc>
          <w:tcPr>
            <w:tcW w:w="0" w:type="auto"/>
          </w:tcPr>
          <w:p w14:paraId="40BD156A" w14:textId="77777777" w:rsidR="00C15F4F" w:rsidRDefault="00000000">
            <w:pPr>
              <w:pStyle w:val="Compact"/>
            </w:pPr>
            <w:r>
              <w:t>Deep split. Landemore, Siu, Coccoma: by lot. Lee, Fruth: legislatures will choose experts committed to the rules. Lessig: legislatures will not adopt sortition.</w:t>
            </w:r>
          </w:p>
        </w:tc>
      </w:tr>
      <w:tr w:rsidR="00C15F4F" w14:paraId="2CE0A426" w14:textId="77777777">
        <w:tc>
          <w:tcPr>
            <w:tcW w:w="0" w:type="auto"/>
          </w:tcPr>
          <w:p w14:paraId="520F7DFE" w14:textId="77777777" w:rsidR="00C15F4F" w:rsidRDefault="00000000">
            <w:pPr>
              <w:pStyle w:val="Compact"/>
            </w:pPr>
            <w:r>
              <w:t>How should votes be allocated?</w:t>
            </w:r>
          </w:p>
        </w:tc>
        <w:tc>
          <w:tcPr>
            <w:tcW w:w="0" w:type="auto"/>
          </w:tcPr>
          <w:p w14:paraId="37615AAE" w14:textId="77777777" w:rsidR="00C15F4F" w:rsidRDefault="00000000">
            <w:pPr>
              <w:pStyle w:val="Compact"/>
            </w:pPr>
            <w:r>
              <w:t>Proposals ranged from one delegate, one vote nationally (Coccoma) to 15 to 25 delegates per state (Landemore) to one state, one vote (Fruth, Lee).</w:t>
            </w:r>
          </w:p>
        </w:tc>
      </w:tr>
      <w:tr w:rsidR="00C15F4F" w14:paraId="46CECCA4" w14:textId="77777777">
        <w:tc>
          <w:tcPr>
            <w:tcW w:w="0" w:type="auto"/>
          </w:tcPr>
          <w:p w14:paraId="4105FE9A" w14:textId="77777777" w:rsidR="00C15F4F" w:rsidRDefault="00000000">
            <w:pPr>
              <w:pStyle w:val="Compact"/>
            </w:pPr>
            <w:r>
              <w:t>Could money capture a convention?</w:t>
            </w:r>
          </w:p>
        </w:tc>
        <w:tc>
          <w:tcPr>
            <w:tcW w:w="0" w:type="auto"/>
          </w:tcPr>
          <w:p w14:paraId="1E0527A6" w14:textId="77777777" w:rsidR="00C15F4F" w:rsidRDefault="00000000">
            <w:pPr>
              <w:pStyle w:val="Compact"/>
            </w:pPr>
            <w:r>
              <w:t>Fruth: “fantasy.” Sortition advocates: random selection is the remedy. Unresolved.</w:t>
            </w:r>
          </w:p>
        </w:tc>
      </w:tr>
      <w:tr w:rsidR="00C15F4F" w14:paraId="3E412B05" w14:textId="77777777">
        <w:tc>
          <w:tcPr>
            <w:tcW w:w="0" w:type="auto"/>
          </w:tcPr>
          <w:p w14:paraId="068D9868" w14:textId="77777777" w:rsidR="00C15F4F" w:rsidRDefault="00000000">
            <w:pPr>
              <w:pStyle w:val="Compact"/>
            </w:pPr>
            <w:r>
              <w:t>How would the public be involved?</w:t>
            </w:r>
          </w:p>
        </w:tc>
        <w:tc>
          <w:tcPr>
            <w:tcW w:w="0" w:type="auto"/>
          </w:tcPr>
          <w:p w14:paraId="011C85AF" w14:textId="77777777" w:rsidR="00C15F4F" w:rsidRDefault="00000000">
            <w:pPr>
              <w:pStyle w:val="Compact"/>
            </w:pPr>
            <w:r>
              <w:t>Forums before the convention that bind delegations (Fruth); crowdsourcing (Siu); caution about early drafts (Landemore); citizen panels and a traveling convention (Coccoma).</w:t>
            </w:r>
          </w:p>
        </w:tc>
      </w:tr>
      <w:tr w:rsidR="00C15F4F" w14:paraId="02A4D292" w14:textId="77777777">
        <w:tc>
          <w:tcPr>
            <w:tcW w:w="0" w:type="auto"/>
          </w:tcPr>
          <w:p w14:paraId="651C2B3E" w14:textId="77777777" w:rsidR="00C15F4F" w:rsidRDefault="00000000">
            <w:pPr>
              <w:pStyle w:val="Compact"/>
            </w:pPr>
            <w:r>
              <w:t>What form should ratification take?</w:t>
            </w:r>
          </w:p>
        </w:tc>
        <w:tc>
          <w:tcPr>
            <w:tcW w:w="0" w:type="auto"/>
          </w:tcPr>
          <w:p w14:paraId="04B3D952" w14:textId="77777777" w:rsidR="00C15F4F" w:rsidRDefault="00000000">
            <w:pPr>
              <w:pStyle w:val="Compact"/>
            </w:pPr>
            <w:r>
              <w:t>State conventions favored by several. Coccoma: 1933’s pledged conventions were rubber stamps; use large citizen juries instead. Lee: 76 chambers are a high bar.</w:t>
            </w:r>
          </w:p>
        </w:tc>
      </w:tr>
      <w:tr w:rsidR="00C15F4F" w14:paraId="32E7CEBC" w14:textId="77777777">
        <w:tc>
          <w:tcPr>
            <w:tcW w:w="0" w:type="auto"/>
          </w:tcPr>
          <w:p w14:paraId="082ECBDD" w14:textId="77777777" w:rsidR="00C15F4F" w:rsidRDefault="00000000">
            <w:pPr>
              <w:pStyle w:val="Compact"/>
            </w:pPr>
            <w:r>
              <w:t>Can a convention be held to its subject?</w:t>
            </w:r>
          </w:p>
        </w:tc>
        <w:tc>
          <w:tcPr>
            <w:tcW w:w="0" w:type="auto"/>
          </w:tcPr>
          <w:p w14:paraId="064F7FD5" w14:textId="77777777" w:rsidR="00C15F4F" w:rsidRDefault="00000000">
            <w:pPr>
              <w:pStyle w:val="Compact"/>
            </w:pPr>
            <w:r>
              <w:t>Fruth: applications, recall, and Phoenix Rule 1, plus no political will to stray. Lee: the compact at 26 states and faithful delegate laws in 17.</w:t>
            </w:r>
          </w:p>
        </w:tc>
      </w:tr>
      <w:tr w:rsidR="00C15F4F" w14:paraId="5684D1B7" w14:textId="77777777">
        <w:tc>
          <w:tcPr>
            <w:tcW w:w="0" w:type="auto"/>
          </w:tcPr>
          <w:p w14:paraId="01F2CE02" w14:textId="77777777" w:rsidR="00C15F4F" w:rsidRDefault="00000000">
            <w:pPr>
              <w:pStyle w:val="Compact"/>
            </w:pPr>
            <w:r>
              <w:t>What is the path for democratic safeguards?</w:t>
            </w:r>
          </w:p>
        </w:tc>
        <w:tc>
          <w:tcPr>
            <w:tcW w:w="0" w:type="auto"/>
          </w:tcPr>
          <w:p w14:paraId="5AD5C8CA" w14:textId="77777777" w:rsidR="00C15F4F" w:rsidRDefault="00000000">
            <w:pPr>
              <w:pStyle w:val="Compact"/>
            </w:pPr>
            <w:r>
              <w:t>Lessig: build parallel citizens’ assemblies outside the legislatures and use a thirteen-state veto to force accountability.</w:t>
            </w:r>
          </w:p>
        </w:tc>
      </w:tr>
      <w:bookmarkEnd w:id="11"/>
    </w:tbl>
    <w:p w14:paraId="406E2C47" w14:textId="77777777" w:rsidR="009C37C7" w:rsidRDefault="009C37C7"/>
    <w:sectPr w:rsidR="009C37C7">
      <w:pgSz w:w="12240" w:h="15840"/>
      <w:pgMar w:top="1440" w:right="1440" w:bottom="1440" w:left="1440" w:header="720" w:footer="6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DB57DE" w14:textId="77777777" w:rsidR="009C37C7" w:rsidRDefault="009C37C7">
      <w:pPr>
        <w:spacing w:line="240" w:lineRule="auto"/>
      </w:pPr>
      <w:r>
        <w:separator/>
      </w:r>
    </w:p>
  </w:endnote>
  <w:endnote w:type="continuationSeparator" w:id="0">
    <w:p w14:paraId="18939DF2" w14:textId="77777777" w:rsidR="009C37C7" w:rsidRDefault="009C37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0DB65E" w14:textId="77777777" w:rsidR="009C37C7" w:rsidRDefault="009C37C7">
      <w:r>
        <w:separator/>
      </w:r>
    </w:p>
  </w:footnote>
  <w:footnote w:type="continuationSeparator" w:id="0">
    <w:p w14:paraId="4A964403" w14:textId="77777777" w:rsidR="009C37C7" w:rsidRDefault="009C37C7">
      <w:r>
        <w:continuationSeparator/>
      </w:r>
    </w:p>
  </w:footnote>
  <w:footnote w:id="1">
    <w:p w14:paraId="5BAAD861" w14:textId="77777777" w:rsidR="00C15F4F" w:rsidRDefault="00000000">
      <w:pPr>
        <w:pStyle w:val="FootnoteText"/>
      </w:pPr>
      <w:r>
        <w:rPr>
          <w:rStyle w:val="FootnoteReference"/>
        </w:rPr>
        <w:footnoteRef/>
      </w:r>
      <w:r>
        <w:t xml:space="preserve"> This summary is based on the automated transcript of the session. Transcript, Panel V, The Future: Imagining an Article V Convention in 2030, V the People Conference, Harvard Law School (Oct. 3, 2026) (on file with the conference organizers). Quotations are lightly corrected for obvious transcription errors, and names are corrected against the conference roster. Counts and figures attributed to the National Federalism Commission are as Lee stated them.</w:t>
      </w:r>
    </w:p>
  </w:footnote>
  <w:footnote w:id="2">
    <w:p w14:paraId="443BDC20" w14:textId="77777777" w:rsidR="00C15F4F" w:rsidRDefault="00000000">
      <w:pPr>
        <w:pStyle w:val="FootnoteText"/>
      </w:pPr>
      <w:r>
        <w:rPr>
          <w:rStyle w:val="FootnoteReference"/>
        </w:rPr>
        <w:footnoteRef/>
      </w:r>
      <w:r>
        <w:t xml:space="preserve"> The second round, adopted in May 2023, enlarged the State Great </w:t>
      </w:r>
      <w:proofErr w:type="spellStart"/>
      <w:r>
        <w:t>Khural</w:t>
      </w:r>
      <w:proofErr w:type="spellEnd"/>
      <w:r>
        <w:t xml:space="preserve"> from 76 to 126 members. </w:t>
      </w:r>
      <w:r>
        <w:rPr>
          <w:i/>
          <w:iCs/>
        </w:rPr>
        <w:t>See Mongolia: Parliament Passes Constitutional Amendments Adopting Mixed Electoral System</w:t>
      </w:r>
      <w:r>
        <w:t xml:space="preserve">, </w:t>
      </w:r>
      <w:proofErr w:type="spellStart"/>
      <w:r>
        <w:t>ConstitutionNet</w:t>
      </w:r>
      <w:proofErr w:type="spellEnd"/>
      <w:r>
        <w:t>, https://constitutionnet.org/news/mongolia-parliament-passes-constitutional-amendments-adopting-mixed-electoral-system-and (last visited Oct. 19, 2026).</w:t>
      </w:r>
    </w:p>
  </w:footnote>
  <w:footnote w:id="3">
    <w:p w14:paraId="47789E20" w14:textId="77777777" w:rsidR="00C15F4F" w:rsidRDefault="00000000">
      <w:pPr>
        <w:pStyle w:val="FootnoteText"/>
      </w:pPr>
      <w:r>
        <w:rPr>
          <w:rStyle w:val="FootnoteReference"/>
        </w:rPr>
        <w:footnoteRef/>
      </w:r>
      <w:r>
        <w:t xml:space="preserve"> Hélène Landemore, Politics Without Politicians: The Case for Citizen Rule (2026); </w:t>
      </w:r>
      <w:r>
        <w:rPr>
          <w:i/>
          <w:iCs/>
        </w:rPr>
        <w:t>see also</w:t>
      </w:r>
      <w:r>
        <w:t xml:space="preserve"> Hélène Landemore, Open Democracy: Reinventing Popular Rule for the Twenty-First Century (2020).</w:t>
      </w:r>
    </w:p>
  </w:footnote>
  <w:footnote w:id="4">
    <w:p w14:paraId="79571E0B" w14:textId="77777777" w:rsidR="00C15F4F" w:rsidRDefault="00000000">
      <w:pPr>
        <w:pStyle w:val="FootnoteText"/>
      </w:pPr>
      <w:r>
        <w:rPr>
          <w:rStyle w:val="FootnoteReference"/>
        </w:rPr>
        <w:footnoteRef/>
      </w:r>
      <w:r>
        <w:t xml:space="preserve"> </w:t>
      </w:r>
      <w:r>
        <w:rPr>
          <w:i/>
          <w:iCs/>
        </w:rPr>
        <w:t>See Connecticut Citizens’ Assembly Begins Work on Property Tax Reform</w:t>
      </w:r>
      <w:r>
        <w:t xml:space="preserve">, Yale Inst. for Soc. &amp; </w:t>
      </w:r>
      <w:proofErr w:type="spellStart"/>
      <w:r>
        <w:t>Pol’y</w:t>
      </w:r>
      <w:proofErr w:type="spellEnd"/>
      <w:r>
        <w:t xml:space="preserve"> Stud. (July 15, 2026), https://isps.yale.edu/news/2026-07-15-connecticut-citizens-assembly-begins-work-on-property-tax-reform.</w:t>
      </w:r>
    </w:p>
  </w:footnote>
  <w:footnote w:id="5">
    <w:p w14:paraId="1E2885D5" w14:textId="77777777" w:rsidR="00C15F4F" w:rsidRDefault="00000000">
      <w:pPr>
        <w:pStyle w:val="FootnoteText"/>
      </w:pPr>
      <w:r>
        <w:rPr>
          <w:rStyle w:val="FootnoteReference"/>
        </w:rPr>
        <w:footnoteRef/>
      </w:r>
      <w:r>
        <w:t xml:space="preserve"> Terry Bouricius, Democracy Without Politicians: Government by the People (2026).</w:t>
      </w:r>
    </w:p>
  </w:footnote>
  <w:footnote w:id="6">
    <w:p w14:paraId="13A2FD32" w14:textId="77777777" w:rsidR="00C15F4F" w:rsidRDefault="00000000">
      <w:pPr>
        <w:pStyle w:val="FootnoteText"/>
      </w:pPr>
      <w:r>
        <w:rPr>
          <w:rStyle w:val="FootnoteReference"/>
        </w:rPr>
        <w:footnoteRef/>
      </w:r>
      <w:r>
        <w:t xml:space="preserve"> Compact for a Safe and Equal Convention for Proposing Amendments arts. III–V (</w:t>
      </w:r>
      <w:proofErr w:type="spellStart"/>
      <w:r>
        <w:t>Nat’l</w:t>
      </w:r>
      <w:proofErr w:type="spellEnd"/>
      <w:r>
        <w:t xml:space="preserve"> Federalism Comm’n model text, Apr. 18, 2026), https://cdn.nfcommission.gov/2026/04/Compact-Safe-Equal-ConvPropose-Amend-Final-4-18-2026.pdf.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40D45B1E"/>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 w16cid:durableId="21326292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15F4F"/>
    <w:rsid w:val="00150452"/>
    <w:rsid w:val="003C231F"/>
    <w:rsid w:val="009C37C7"/>
    <w:rsid w:val="00C15F4F"/>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393DD1E"/>
  <w15:docId w15:val="{5F15D864-93B2-7D40-9B83-A4AD05ABC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0" w:line="276" w:lineRule="auto"/>
    </w:pPr>
    <w:rPr>
      <w:rFonts w:ascii="Georgia" w:eastAsia="Georgia" w:hAnsi="Georgia" w:cs="Georgia"/>
      <w:color w:val="222222"/>
      <w:sz w:val="22"/>
      <w:szCs w:val="22"/>
    </w:rPr>
  </w:style>
  <w:style w:type="paragraph" w:styleId="Heading1">
    <w:name w:val="heading 1"/>
    <w:basedOn w:val="Normal"/>
    <w:next w:val="BodyText"/>
    <w:uiPriority w:val="9"/>
    <w:qFormat/>
    <w:pPr>
      <w:keepNext/>
      <w:keepLines/>
      <w:spacing w:before="320" w:after="120"/>
      <w:outlineLvl w:val="0"/>
    </w:pPr>
    <w:rPr>
      <w:b/>
      <w:color w:val="1F3A5F"/>
      <w:sz w:val="28"/>
      <w:szCs w:val="28"/>
    </w:rPr>
  </w:style>
  <w:style w:type="paragraph" w:styleId="Heading2">
    <w:name w:val="heading 2"/>
    <w:basedOn w:val="Normal"/>
    <w:next w:val="BodyText"/>
    <w:uiPriority w:val="9"/>
    <w:unhideWhenUsed/>
    <w:qFormat/>
    <w:pPr>
      <w:keepNext/>
      <w:keepLines/>
      <w:spacing w:before="240" w:after="80"/>
      <w:outlineLvl w:val="1"/>
    </w:pPr>
    <w:rPr>
      <w:b/>
      <w:i/>
      <w:color w:val="1F3A5F"/>
      <w:sz w:val="23"/>
      <w:szCs w:val="23"/>
    </w:rPr>
  </w:style>
  <w:style w:type="paragraph" w:styleId="Heading3">
    <w:name w:val="heading 3"/>
    <w:basedOn w:val="Normal"/>
    <w:next w:val="BodyText"/>
    <w:uiPriority w:val="9"/>
    <w:unhideWhenUsed/>
    <w:qFormat/>
    <w:pPr>
      <w:keepNext/>
      <w:keepLines/>
      <w:spacing w:before="20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outlineLvl w:val="3"/>
    </w:pPr>
    <w:rPr>
      <w:rFonts w:asciiTheme="majorHAnsi" w:eastAsiaTheme="majorEastAsia" w:hAnsiTheme="majorHAnsi" w:cstheme="majorBidi"/>
      <w:bCs/>
      <w:i/>
      <w:color w:val="4F81BD" w:themeColor="accent1"/>
      <w:sz w:val="24"/>
      <w:szCs w:val="24"/>
    </w:rPr>
  </w:style>
  <w:style w:type="paragraph" w:styleId="Heading5">
    <w:name w:val="heading 5"/>
    <w:basedOn w:val="Normal"/>
    <w:next w:val="BodyText"/>
    <w:uiPriority w:val="9"/>
    <w:unhideWhenUsed/>
    <w:qFormat/>
    <w:pPr>
      <w:keepNext/>
      <w:keepLines/>
      <w:spacing w:before="20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outlineLvl w:val="8"/>
    </w:pPr>
    <w:rPr>
      <w:rFonts w:asciiTheme="majorHAnsi" w:eastAsiaTheme="majorEastAsia" w:hAnsiTheme="majorHAnsi" w:cstheme="majorBidi"/>
      <w:color w:val="4F81BD"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after="160" w:line="288" w:lineRule="auto"/>
    </w:pPr>
  </w:style>
  <w:style w:type="paragraph" w:customStyle="1" w:styleId="FirstParagraph">
    <w:name w:val="First Paragraph"/>
    <w:basedOn w:val="BodyText"/>
    <w:next w:val="BodyText"/>
    <w:qFormat/>
  </w:style>
  <w:style w:type="paragraph" w:customStyle="1" w:styleId="Compact">
    <w:name w:val="Compact"/>
    <w:basedOn w:val="BodyText"/>
    <w:qFormat/>
    <w:pPr>
      <w:spacing w:before="40" w:after="40" w:line="252" w:lineRule="auto"/>
    </w:pPr>
    <w:rPr>
      <w:sz w:val="19"/>
      <w:szCs w:val="19"/>
    </w:rPr>
  </w:style>
  <w:style w:type="paragraph" w:styleId="Title">
    <w:name w:val="Title"/>
    <w:basedOn w:val="Normal"/>
    <w:next w:val="BodyText"/>
    <w:qFormat/>
    <w:pPr>
      <w:keepNext/>
      <w:keepLines/>
      <w:spacing w:after="80"/>
    </w:pPr>
    <w:rPr>
      <w:b/>
      <w:color w:val="1F3A5F"/>
      <w:sz w:val="40"/>
      <w:szCs w:val="40"/>
    </w:rPr>
  </w:style>
  <w:style w:type="paragraph" w:styleId="Subtitle">
    <w:name w:val="Subtitle"/>
    <w:basedOn w:val="Normal"/>
    <w:next w:val="BodyText"/>
    <w:qFormat/>
    <w:pPr>
      <w:keepNext/>
      <w:pBdr>
        <w:bottom w:val="single" w:sz="6" w:space="8" w:color="1F3A5F"/>
      </w:pBdr>
      <w:spacing w:after="240"/>
    </w:pPr>
    <w:rPr>
      <w:i/>
      <w:color w:val="555555"/>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jc w:val="center"/>
    </w:pPr>
    <w:rPr>
      <w:b/>
      <w:color w:val="345A8A"/>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pPr>
      <w:spacing w:after="60" w:line="240" w:lineRule="auto"/>
    </w:pPr>
    <w:rPr>
      <w:sz w:val="18"/>
      <w:szCs w:val="18"/>
    </w:rPr>
  </w:style>
  <w:style w:type="table" w:customStyle="1" w:styleId="Table">
    <w:name w:val="Table"/>
    <w:qFormat/>
    <w:tblPr>
      <w:tblInd w:w="0" w:type="dxa"/>
      <w:tblBorders>
        <w:top w:val="single" w:sz="6" w:space="0" w:color="1F3A5F"/>
        <w:bottom w:val="single" w:sz="6" w:space="0" w:color="1F3A5F"/>
        <w:insideH w:val="single" w:sz="4" w:space="0" w:color="C8CED6"/>
      </w:tblBorders>
      <w:tblCellMar>
        <w:top w:w="60" w:type="dxa"/>
        <w:left w:w="100" w:type="dxa"/>
        <w:bottom w:w="60" w:type="dxa"/>
        <w:right w:w="100" w:type="dxa"/>
      </w:tblCellMar>
    </w:tblPr>
    <w:tblStylePr w:type="firstRow">
      <w:rPr>
        <w:b/>
        <w:color w:val="1F3A5F"/>
      </w:rPr>
      <w:tblPr/>
      <w:tcPr>
        <w:shd w:val="clear" w:color="auto" w:fill="EEF2F6"/>
        <w:vAlign w:val="bottom"/>
      </w:tcPr>
    </w:tblStylePr>
  </w:style>
  <w:style w:type="paragraph" w:customStyle="1" w:styleId="DefinitionTerm">
    <w:name w:val="Definition Term"/>
    <w:basedOn w:val="Normal"/>
    <w:next w:val="Definition"/>
    <w:pPr>
      <w:keepNext/>
      <w:keepLines/>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2567</Words>
  <Characters>14637</Characters>
  <Application>Microsoft Office Word</Application>
  <DocSecurity>0</DocSecurity>
  <Lines>121</Lines>
  <Paragraphs>34</Paragraphs>
  <ScaleCrop>false</ScaleCrop>
  <Company/>
  <LinksUpToDate>false</LinksUpToDate>
  <CharactersWithSpaces>17170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 9: Panel V, The Future: Imagining an Article V Convention in 2030</dc:title>
  <dc:creator/>
  <cp:keywords/>
  <cp:lastModifiedBy>Lessig, Lawrence</cp:lastModifiedBy>
  <cp:revision>2</cp:revision>
  <dcterms:created xsi:type="dcterms:W3CDTF">2026-10-19T14:17:00Z</dcterms:created>
  <dcterms:modified xsi:type="dcterms:W3CDTF">2026-10-20T11:05:00Z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V the People Conference on an Article V Convention · Harvard Law School · Saturday, October 3, 2026</vt:lpwstr>
  </property>
</Properties>
</file>