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8:</w:t>
      </w:r>
      <w:r>
        <w:t xml:space="preserve"> </w:t>
      </w:r>
      <w:r>
        <w:t xml:space="preserve">Panel</w:t>
      </w:r>
      <w:r>
        <w:t xml:space="preserve"> </w:t>
      </w:r>
      <w:r>
        <w:t xml:space="preserve">IV,</w:t>
      </w:r>
      <w:r>
        <w:t xml:space="preserve"> </w:t>
      </w:r>
      <w:r>
        <w:t xml:space="preserve">Blueprints:</w:t>
      </w:r>
      <w:r>
        <w:t xml:space="preserve"> </w:t>
      </w:r>
      <w:r>
        <w:t xml:space="preserve">State</w:t>
      </w:r>
      <w:r>
        <w:t xml:space="preserve"> </w:t>
      </w:r>
      <w:r>
        <w:t xml:space="preserve">Conventions</w:t>
      </w:r>
      <w:r>
        <w:t xml:space="preserve"> </w:t>
      </w:r>
      <w:r>
        <w:t xml:space="preserve">and</w:t>
      </w:r>
      <w:r>
        <w:t xml:space="preserve"> </w:t>
      </w:r>
      <w:r>
        <w:t xml:space="preserve">International</w:t>
      </w:r>
      <w:r>
        <w:t xml:space="preserve"> </w:t>
      </w:r>
      <w:r>
        <w:t xml:space="preserve">Models</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3:45 p.m.</w:t>
            </w:r>
          </w:p>
        </w:tc>
      </w:tr>
      <w:tr>
        <w:tc>
          <w:tcPr/>
          <w:p>
            <w:pPr>
              <w:pStyle w:val="Compact"/>
              <w:jc w:val="left"/>
            </w:pPr>
            <w:r>
              <w:t xml:space="preserve">Panelists</w:t>
            </w:r>
          </w:p>
        </w:tc>
        <w:tc>
          <w:tcPr/>
          <w:p>
            <w:pPr>
              <w:pStyle w:val="Compact"/>
              <w:jc w:val="left"/>
            </w:pPr>
            <w:r>
              <w:t xml:space="preserve">Richard Albert, Hines H. Baker and Thelma Kelley Baker Chair in Law, University of Texas at Austin. Jane Suiter, Professor of Political Communication, Dublin City University. Katrín Oddsdóttir, human rights and environmental lawyer, Icelandic Constitution Society, and member of Iceland’s 2011 Constitutional Council. Imani Daniel, delegate and secretary, Sixth Constitutional Convention of the U.S. Virgin Islands. David F. Guldenschuh, publisher,</w:t>
            </w:r>
            <w:r>
              <w:t xml:space="preserve"> </w:t>
            </w:r>
            <w:r>
              <w:rPr>
                <w:iCs/>
                <w:i/>
              </w:rPr>
              <w:t xml:space="preserve">Article V Convention Legislative Progress Report</w:t>
            </w:r>
            <w:r>
              <w:t xml:space="preserve">, and secretary of the 2017 Balanced Budget Amendment Planning Convention.</w:t>
            </w:r>
          </w:p>
        </w:tc>
      </w:tr>
      <w:tr>
        <w:tc>
          <w:tcPr/>
          <w:p>
            <w:pPr>
              <w:pStyle w:val="Compact"/>
              <w:jc w:val="left"/>
            </w:pPr>
            <w:r>
              <w:t xml:space="preserve">Moderator</w:t>
            </w:r>
          </w:p>
        </w:tc>
        <w:tc>
          <w:tcPr/>
          <w:p>
            <w:pPr>
              <w:pStyle w:val="Compact"/>
              <w:jc w:val="left"/>
            </w:pPr>
            <w:r>
              <w:t xml:space="preserve">Laura Weinrib, Fred N. Fishman Professor of Constitutional Law, Harvard Law School</w:t>
            </w:r>
          </w:p>
        </w:tc>
      </w:tr>
      <w:tr>
        <w:tc>
          <w:tcPr/>
          <w:p>
            <w:pPr>
              <w:pStyle w:val="Compact"/>
              <w:jc w:val="left"/>
            </w:pPr>
            <w:r>
              <w:t xml:space="preserve">Recording</w:t>
            </w:r>
          </w:p>
        </w:tc>
        <w:tc>
          <w:tcPr/>
          <w:p>
            <w:pPr>
              <w:pStyle w:val="Compact"/>
              <w:jc w:val="left"/>
            </w:pPr>
            <w:r>
              <w:t xml:space="preserve">About 86 minutes</w:t>
            </w:r>
          </w:p>
        </w:tc>
      </w:tr>
    </w:tbl>
    <w:bookmarkStart w:id="21" w:name="in-brief"/>
    <w:p>
      <w:pPr>
        <w:pStyle w:val="Heading1"/>
      </w:pPr>
      <w:r>
        <w:t xml:space="preserve">In brief</w:t>
      </w:r>
    </w:p>
    <w:p>
      <w:pPr>
        <w:pStyle w:val="FirstParagraph"/>
      </w:pPr>
      <w:r>
        <w:t xml:space="preserve">After the skeptics asked who would sit in a convention, by what rules, and with what referee, this panel asked how other places have answered those questions. The comparative evidence was mixed and instructive. Richard Albert’s new survey of 109 constitutional experts in 53 countries found broad agreement that conventions should have rules written in advance, protected seats for minorities, and a popular vote on their output. Those experts also judged a constitution that authorizes a convention without saying how delegates are chosen to be</w:t>
      </w:r>
      <w:r>
        <w:t xml:space="preserve"> </w:t>
      </w:r>
      <w:r>
        <w:t xml:space="preserve">“</w:t>
      </w:r>
      <w:r>
        <w:t xml:space="preserve">defective,</w:t>
      </w:r>
      <w:r>
        <w:t xml:space="preserve">”</w:t>
      </w:r>
      <w:r>
        <w:t xml:space="preserve"> </w:t>
      </w:r>
      <w:r>
        <w:t xml:space="preserve">which describes Article V. Seventy-one percent said paper safeguards alone cannot make a convention safe in a polarized society, yet 73 percent said a convention’s work carries more legitimacy than a legislature’s.</w:t>
      </w:r>
      <w:r>
        <w:rPr>
          <w:rStyle w:val="FootnoteReference"/>
        </w:rPr>
        <w:footnoteReference w:id="20"/>
      </w:r>
    </w:p>
    <w:p>
      <w:pPr>
        <w:pStyle w:val="BodyText"/>
      </w:pPr>
      <w:r>
        <w:t xml:space="preserve">Ireland and Iceland showed what randomly selected citizens can do and what happens when their work is not bound to a result. Jane Suiter endorsed the core of Lessig’s proposal and suggested two changes: bring citizens back to judge the final text, and send some randomly chosen citizens to the convention itself. Katrín Oddsdóttir told how Iceland’s crowdsourced constitution won a referendum and then sat in a drawer for fourteen years, and drew the lesson:</w:t>
      </w:r>
      <w:r>
        <w:t xml:space="preserve"> </w:t>
      </w:r>
      <w:r>
        <w:t xml:space="preserve">“</w:t>
      </w:r>
      <w:r>
        <w:t xml:space="preserve">bind the delegates to the people, not the legislator.</w:t>
      </w:r>
      <w:r>
        <w:t xml:space="preserve">”</w:t>
      </w:r>
      <w:r>
        <w:t xml:space="preserve"> </w:t>
      </w:r>
      <w:r>
        <w:t xml:space="preserve">Imani Daniel described a Virgin Islands convention hampered by poor rules and weak public outreach, and asked where territories and tribes fit in an American convention. David Guldenschuh described the 2017 Arizona planning convention as proof that a convention of states can stay on topic, and offered a three-week blueprint for an Article V convention.</w:t>
      </w:r>
    </w:p>
    <w:bookmarkEnd w:id="21"/>
    <w:bookmarkStart w:id="25" w:name="context"/>
    <w:p>
      <w:pPr>
        <w:pStyle w:val="Heading1"/>
      </w:pPr>
      <w:r>
        <w:t xml:space="preserve">Context</w:t>
      </w:r>
    </w:p>
    <w:p>
      <w:pPr>
        <w:pStyle w:val="FirstParagraph"/>
      </w:pPr>
      <w:r>
        <w:t xml:space="preserve">The previous panel identified three gaps in Article V: it says nothing about how delegates are chosen, how votes are allocated, or who resolves disputes. This panel looked at processes that filled those gaps. Several used</w:t>
      </w:r>
      <w:r>
        <w:t xml:space="preserve"> </w:t>
      </w:r>
      <w:r>
        <w:rPr>
          <w:iCs/>
          <w:i/>
        </w:rPr>
        <w:t xml:space="preserve">sortition</w:t>
      </w:r>
      <w:r>
        <w:t xml:space="preserve">, the selection of participants by lot, as in a jury. Ireland has used randomly selected citizens’ assemblies since 2012 to consider constitutional amendments, which then go to a referendum.</w:t>
      </w:r>
      <w:r>
        <w:rPr>
          <w:rStyle w:val="FootnoteReference"/>
        </w:rPr>
        <w:footnoteReference w:id="22"/>
      </w:r>
      <w:r>
        <w:t xml:space="preserve"> </w:t>
      </w:r>
      <w:r>
        <w:t xml:space="preserve">Iceland used a randomly selected national forum and an elected council to draft a new constitution after its 2008 banking collapse.</w:t>
      </w:r>
      <w:r>
        <w:rPr>
          <w:rStyle w:val="FootnoteReference"/>
        </w:rPr>
        <w:footnoteReference w:id="23"/>
      </w:r>
      <w:r>
        <w:t xml:space="preserve"> </w:t>
      </w:r>
      <w:r>
        <w:t xml:space="preserve">The U.S. Virgin Islands, an unincorporated territory governed under a 1954 federal statute, has held six conventions to write a local constitution.</w:t>
      </w:r>
      <w:r>
        <w:rPr>
          <w:rStyle w:val="FootnoteReference"/>
        </w:rPr>
        <w:footnoteReference w:id="24"/>
      </w:r>
      <w:r>
        <w:t xml:space="preserve"> </w:t>
      </w:r>
      <w:r>
        <w:t xml:space="preserve">In 2017, Arizona’s legislature convened a planning convention of states in Phoenix to draft rules for a future balanced budget convention.</w:t>
      </w:r>
    </w:p>
    <w:bookmarkEnd w:id="25"/>
    <w:bookmarkStart w:id="34" w:name="presentations"/>
    <w:p>
      <w:pPr>
        <w:pStyle w:val="Heading1"/>
      </w:pPr>
      <w:r>
        <w:t xml:space="preserve">Presentations</w:t>
      </w:r>
    </w:p>
    <w:bookmarkStart w:id="27" w:name="richard-albert-a-global-blueprint"/>
    <w:p>
      <w:pPr>
        <w:pStyle w:val="Heading2"/>
      </w:pPr>
      <w:r>
        <w:t xml:space="preserve">Richard Albert: a global blueprint</w:t>
      </w:r>
    </w:p>
    <w:p>
      <w:pPr>
        <w:pStyle w:val="FirstParagraph"/>
      </w:pPr>
      <w:r>
        <w:t xml:space="preserve">Albert, author of a leading comparative study of constitutional amendment, said he admires the U.S. Constitution, supports a convention, and leans Jeffersonian on periodic renewal, but that his talk would report others’ views. He surveyed 109 constitutional experts from 53 countries on six continents in the summer of 2026, with 35 questions tracking four stages of a convention.</w:t>
      </w:r>
      <w:r>
        <w:rPr>
          <w:rStyle w:val="FootnoteReference"/>
        </w:rPr>
        <w:footnoteReference w:id="26"/>
      </w:r>
    </w:p>
    <w:p>
      <w:pPr>
        <w:pStyle w:val="BodyText"/>
      </w:pPr>
      <w:r>
        <w:t xml:space="preserve">On</w:t>
      </w:r>
      <w:r>
        <w:t xml:space="preserve"> </w:t>
      </w:r>
      <w:r>
        <w:rPr>
          <w:bCs/>
          <w:b/>
        </w:rPr>
        <w:t xml:space="preserve">convocation</w:t>
      </w:r>
      <w:r>
        <w:t xml:space="preserve">, 81 percent said a constitution should expressly regulate how a convention is convened, and 80 percent said implementing laws should be enacted well before one is triggered:</w:t>
      </w:r>
      <w:r>
        <w:t xml:space="preserve"> </w:t>
      </w:r>
      <w:r>
        <w:t xml:space="preserve">“</w:t>
      </w:r>
      <w:r>
        <w:t xml:space="preserve">don’t build the lifeboat in the storm.</w:t>
      </w:r>
      <w:r>
        <w:t xml:space="preserve">”</w:t>
      </w:r>
      <w:r>
        <w:t xml:space="preserve"> </w:t>
      </w:r>
      <w:r>
        <w:t xml:space="preserve">He noted that Congress has debated such a law for over half a century without passing one. Seventy percent said executives should not be able to call conventions, citing Venezuela’s 2017 assembly. Seventy percent opposed automatic periodic ballot questions, which fourteen American states use, and four in five said conventions suit moments of crisis or founding rather than routine maintenance:</w:t>
      </w:r>
      <w:r>
        <w:t xml:space="preserve"> </w:t>
      </w:r>
      <w:r>
        <w:t xml:space="preserve">“</w:t>
      </w:r>
      <w:r>
        <w:t xml:space="preserve">a fire extinguisher, not a feather duster.</w:t>
      </w:r>
      <w:r>
        <w:t xml:space="preserve">”</w:t>
      </w:r>
    </w:p>
    <w:p>
      <w:pPr>
        <w:pStyle w:val="BodyText"/>
      </w:pPr>
      <w:r>
        <w:t xml:space="preserve">On</w:t>
      </w:r>
      <w:r>
        <w:t xml:space="preserve"> </w:t>
      </w:r>
      <w:r>
        <w:rPr>
          <w:bCs/>
          <w:b/>
        </w:rPr>
        <w:t xml:space="preserve">composition</w:t>
      </w:r>
      <w:r>
        <w:t xml:space="preserve">, 60 percent would bar sitting legislators from serving as delegates. Nearly 91 percent said delegate rules should secure representation for linguistic, cultural, ethnic, racial, and regional minorities. The experts split evenly on whether sortition would make a convention more legitimate. But 86 percent said a constitution that authorizes a convention while leaving delegate selection unspecified is defective, and</w:t>
      </w:r>
      <w:r>
        <w:t xml:space="preserve"> </w:t>
      </w:r>
      <w:r>
        <w:t xml:space="preserve">“</w:t>
      </w:r>
      <w:r>
        <w:t xml:space="preserve">Article Five authorizes a convention and says not one word about [how] delegates are to be chosen.</w:t>
      </w:r>
      <w:r>
        <w:t xml:space="preserve">”</w:t>
      </w:r>
    </w:p>
    <w:p>
      <w:pPr>
        <w:pStyle w:val="BodyText"/>
      </w:pPr>
      <w:r>
        <w:t xml:space="preserve">On</w:t>
      </w:r>
      <w:r>
        <w:t xml:space="preserve"> </w:t>
      </w:r>
      <w:r>
        <w:rPr>
          <w:bCs/>
          <w:b/>
        </w:rPr>
        <w:t xml:space="preserve">competence</w:t>
      </w:r>
      <w:r>
        <w:t xml:space="preserve">, 81 percent said a convention’s agenda can be legally confined, and 62 percent said exceeding the mandate produces a legal nullity. But 77 percent said it would be very difficult in practice to stop a convention from exceeding its mandate. The same share would allow a convention to adopt an entirely new constitution. Three-quarters would let courts police the mandate. Ninety-seven percent agreed that ordinary government continues while a convention sits:</w:t>
      </w:r>
      <w:r>
        <w:t xml:space="preserve"> </w:t>
      </w:r>
      <w:r>
        <w:t xml:space="preserve">“</w:t>
      </w:r>
      <w:r>
        <w:t xml:space="preserve">the convention writes the constitution; it does not run the country.</w:t>
      </w:r>
      <w:r>
        <w:t xml:space="preserve">”</w:t>
      </w:r>
    </w:p>
    <w:p>
      <w:pPr>
        <w:pStyle w:val="BodyText"/>
      </w:pPr>
      <w:r>
        <w:t xml:space="preserve">On</w:t>
      </w:r>
      <w:r>
        <w:t xml:space="preserve"> </w:t>
      </w:r>
      <w:r>
        <w:rPr>
          <w:bCs/>
          <w:b/>
        </w:rPr>
        <w:t xml:space="preserve">confirmation</w:t>
      </w:r>
      <w:r>
        <w:t xml:space="preserve">, 86 percent would require a supermajority of delegates to propose, 79 percent would send the output to voters, and more than four in five would set a minimum turnout. Sixty-three percent would let courts invalidate a convention’s output on procedural grounds even after voters approve it.</w:t>
      </w:r>
    </w:p>
    <w:p>
      <w:pPr>
        <w:pStyle w:val="BodyText"/>
      </w:pPr>
      <w:r>
        <w:t xml:space="preserve">His closing finding was a paradox. Seventy-one percent said paper safeguards, taken together, are not enough to make a convention safe in a polarized society. Seventy-three percent said change by convention commands more legitimacy than change by a legislature alone. His summary of the experts’ blueprint: write the rules before you need them, keep the executive’s hand off the trigger, give minorities a seat, keep the government running, and send the product to the people.</w:t>
      </w:r>
    </w:p>
    <w:bookmarkEnd w:id="27"/>
    <w:bookmarkStart w:id="28" w:name="jane-suiter-the-irish-chain"/>
    <w:p>
      <w:pPr>
        <w:pStyle w:val="Heading2"/>
      </w:pPr>
      <w:r>
        <w:t xml:space="preserve">Jane Suiter: the Irish chain</w:t>
      </w:r>
    </w:p>
    <w:p>
      <w:pPr>
        <w:pStyle w:val="FirstParagraph"/>
      </w:pPr>
      <w:r>
        <w:t xml:space="preserve">Suiter, a founder of We the Citizens, the pilot project that led to Ireland’s assemblies, has spent fifteen years inside them. A key reason they worked, she said, is that no party owned them. Ireland’s 2012 to 2014 Convention on the Constitution combined 66 randomly selected citizens with 33 politicians. The 2016 Citizens’ Assembly dropped the politicians, leaving 99 citizens and a Supreme Court judge as chair. Lawyers were moved from members to expert witnesses and drafters. Politicians were dropped after organizers watched them take the microphone on the first morning while citizens deferred.</w:t>
      </w:r>
    </w:p>
    <w:p>
      <w:pPr>
        <w:pStyle w:val="BodyText"/>
      </w:pPr>
      <w:r>
        <w:t xml:space="preserve">Ireland’s rules are clear: an amendment passes both houses of parliament and goes to the people as a referendum, decided by simple majority. The chain has four links. The government and parliament set the question; a random sample of the people recommends; parliament drafts; the whole people decide. When the text put to the people closely tracked an assembly’s recommendation, it passed: marriage equality in 2015 and repeal of the Eighth Amendment on abortion in 2018. When the government changed the text, or the assembly never really considered the question, it failed, as with lowering the age of presidential candidates in 2015 and the 2024 amendments on family and care.</w:t>
      </w:r>
      <w:r>
        <w:t xml:space="preserve"> </w:t>
      </w:r>
      <w:r>
        <w:t xml:space="preserve">“</w:t>
      </w:r>
      <w:r>
        <w:t xml:space="preserve">Endorsement by an assembly was necessary, but it was never sufficient.</w:t>
      </w:r>
      <w:r>
        <w:t xml:space="preserve">”</w:t>
      </w:r>
    </w:p>
    <w:p>
      <w:pPr>
        <w:pStyle w:val="BodyText"/>
      </w:pPr>
      <w:r>
        <w:t xml:space="preserve">She said Lessig’s proposal, as she understood it, captures</w:t>
      </w:r>
      <w:r>
        <w:t xml:space="preserve"> </w:t>
      </w:r>
      <w:r>
        <w:t xml:space="preserve">“</w:t>
      </w:r>
      <w:r>
        <w:t xml:space="preserve">the two things that matter most in Ireland</w:t>
      </w:r>
      <w:r>
        <w:t xml:space="preserve">”</w:t>
      </w:r>
      <w:r>
        <w:t xml:space="preserve">: ordinary people deliberating before anyone decides, and</w:t>
      </w:r>
      <w:r>
        <w:t xml:space="preserve"> </w:t>
      </w:r>
      <w:r>
        <w:t xml:space="preserve">“</w:t>
      </w:r>
      <w:r>
        <w:t xml:space="preserve">a verdict that politicians can’t quietly set aside.</w:t>
      </w:r>
      <w:r>
        <w:t xml:space="preserve">”</w:t>
      </w:r>
      <w:r>
        <w:t xml:space="preserve"> </w:t>
      </w:r>
      <w:r>
        <w:t xml:space="preserve">She suggested two changes. First, because Article V has no referendum, bring citizens back at the end to judge the actual text. She distinguished multi-weekend citizens’ assemblies of 100 or 150 people, suited to open agenda-setting, from deliberative polls of hundreds or thousands over a weekend, suited to measuring considered views on a fixed question. She would use an assembly at the front and a poll on the final text to guide ratification. Second, because state assemblies hear only from their own state and bound delegates</w:t>
      </w:r>
      <w:r>
        <w:t xml:space="preserve"> </w:t>
      </w:r>
      <w:r>
        <w:t xml:space="preserve">“</w:t>
      </w:r>
      <w:r>
        <w:t xml:space="preserve">can haggle over the wording, but they can’t trade across topics,</w:t>
      </w:r>
      <w:r>
        <w:t xml:space="preserve">”</w:t>
      </w:r>
      <w:r>
        <w:t xml:space="preserve"> </w:t>
      </w:r>
      <w:r>
        <w:t xml:space="preserve">a state might also send some delegates chosen by lot from its assembly, so that part of the convention would be citizens from different states deliberating together. She closed by recalling the first morning at Malahide: politicians took the microphone because they had been chosen to; the citizens eventually spoke</w:t>
      </w:r>
      <w:r>
        <w:t xml:space="preserve"> </w:t>
      </w:r>
      <w:r>
        <w:t xml:space="preserve">“</w:t>
      </w:r>
      <w:r>
        <w:t xml:space="preserve">because nobody had actually chosen them for anything, and that’s the one thing in the room that money can’t buy.</w:t>
      </w:r>
      <w:r>
        <w:t xml:space="preserve">”</w:t>
      </w:r>
    </w:p>
    <w:bookmarkEnd w:id="28"/>
    <w:bookmarkStart w:id="29" w:name="Xe7f8a634426c57f446ec7fdb3316c3d46e0ed1d"/>
    <w:p>
      <w:pPr>
        <w:pStyle w:val="Heading2"/>
      </w:pPr>
      <w:r>
        <w:t xml:space="preserve">Katrín Oddsdóttir: Iceland’s unfinished constitution</w:t>
      </w:r>
    </w:p>
    <w:p>
      <w:pPr>
        <w:pStyle w:val="FirstParagraph"/>
      </w:pPr>
      <w:r>
        <w:t xml:space="preserve">Oddsdóttir told the Icelandic story. Iceland became a republic in 1944 by taking the Danish constitution and replacing</w:t>
      </w:r>
      <w:r>
        <w:t xml:space="preserve"> </w:t>
      </w:r>
      <w:r>
        <w:t xml:space="preserve">“</w:t>
      </w:r>
      <w:r>
        <w:t xml:space="preserve">king</w:t>
      </w:r>
      <w:r>
        <w:t xml:space="preserve">”</w:t>
      </w:r>
      <w:r>
        <w:t xml:space="preserve"> </w:t>
      </w:r>
      <w:r>
        <w:t xml:space="preserve">with</w:t>
      </w:r>
      <w:r>
        <w:t xml:space="preserve"> </w:t>
      </w:r>
      <w:r>
        <w:t xml:space="preserve">“</w:t>
      </w:r>
      <w:r>
        <w:t xml:space="preserve">president.</w:t>
      </w:r>
      <w:r>
        <w:t xml:space="preserve">”</w:t>
      </w:r>
      <w:r>
        <w:t xml:space="preserve"> </w:t>
      </w:r>
      <w:r>
        <w:t xml:space="preserve">Every party agreed it was provisional. It remains in force. After the 2008 financial crash, protests filled the square in front of parliament, and Oddsdóttir, then a law student, gave a widely broadcast speech. The new government asked the people to write a constitution.</w:t>
      </w:r>
    </w:p>
    <w:p>
      <w:pPr>
        <w:pStyle w:val="BodyText"/>
      </w:pPr>
      <w:r>
        <w:t xml:space="preserve">In November 2010, about 1,000 randomly selected Icelanders met for a day to identify the values a new constitution should express. Twenty-five people, chosen from more than 500 candidates, were then elected to draft it; none were professional politicians. The Supreme Court invalidated the election on technical grounds, so parliament appointed the same 25 as a Constitutional Council. To repair its legitimacy, the council opened everything: it posted drafts weekly, streamed meetings, and read more than 3,600 public comments. After four months it adopted the draft unanimously, 25 to 0. It declared natural resources the property of the people, equalized the weight of votes, and gave citizens the right to call referendums and propose laws. Parliament</w:t>
      </w:r>
      <w:r>
        <w:t xml:space="preserve"> </w:t>
      </w:r>
      <w:r>
        <w:t xml:space="preserve">“</w:t>
      </w:r>
      <w:r>
        <w:t xml:space="preserve">treated it like a hot potato.</w:t>
      </w:r>
      <w:r>
        <w:t xml:space="preserve">”</w:t>
      </w:r>
      <w:r>
        <w:t xml:space="preserve"> </w:t>
      </w:r>
      <w:r>
        <w:t xml:space="preserve">In an October 2012 advisory referendum, two-thirds of voters approved the draft as the basis for a new constitution, and a larger majority supported public ownership of natural resources. Then nothing happened; the draft has stayed in a drawer.</w:t>
      </w:r>
    </w:p>
    <w:p>
      <w:pPr>
        <w:pStyle w:val="BodyText"/>
      </w:pPr>
      <w:r>
        <w:t xml:space="preserve">Her lessons came later in the discussion. Random selection works:</w:t>
      </w:r>
      <w:r>
        <w:t xml:space="preserve"> </w:t>
      </w:r>
      <w:r>
        <w:t xml:space="preserve">“</w:t>
      </w:r>
      <w:r>
        <w:t xml:space="preserve">ordinary people, given time and good information, are wise.</w:t>
      </w:r>
      <w:r>
        <w:t xml:space="preserve">”</w:t>
      </w:r>
      <w:r>
        <w:t xml:space="preserve"> </w:t>
      </w:r>
      <w:r>
        <w:t xml:space="preserve">Consensus methods work better than repeated voting. And the real danger</w:t>
      </w:r>
      <w:r>
        <w:t xml:space="preserve"> </w:t>
      </w:r>
      <w:r>
        <w:t xml:space="preserve">“</w:t>
      </w:r>
      <w:r>
        <w:t xml:space="preserve">is not the convention that runs away from its mandate; it’s the institutions that run away from the people.</w:t>
      </w:r>
      <w:r>
        <w:t xml:space="preserve">”</w:t>
      </w:r>
      <w:r>
        <w:t xml:space="preserve"> </w:t>
      </w:r>
      <w:r>
        <w:t xml:space="preserve">Her advice to Americans:</w:t>
      </w:r>
      <w:r>
        <w:t xml:space="preserve"> </w:t>
      </w:r>
      <w:r>
        <w:t xml:space="preserve">“</w:t>
      </w:r>
      <w:r>
        <w:t xml:space="preserve">bind the delegates to the people, not the legislator, so that once the people have spoken, no one can take it back. If Iceland had had that rule, I would be telling you a very different story today.</w:t>
      </w:r>
      <w:r>
        <w:t xml:space="preserve">”</w:t>
      </w:r>
    </w:p>
    <w:bookmarkEnd w:id="29"/>
    <w:bookmarkStart w:id="31" w:name="X9bfb36d641ce324b800993cd01850825d626d5e"/>
    <w:p>
      <w:pPr>
        <w:pStyle w:val="Heading2"/>
      </w:pPr>
      <w:r>
        <w:t xml:space="preserve">Imani Daniel: self-government without sovereignty</w:t>
      </w:r>
    </w:p>
    <w:p>
      <w:pPr>
        <w:pStyle w:val="FirstParagraph"/>
      </w:pPr>
      <w:r>
        <w:t xml:space="preserve">Daniel described the U.S. Virgin Islands. The United States bought the islands from Denmark in 1917; residents became citizens a decade later. They cannot vote for president and have no voting member of Congress. Their government operates under the Revised Organic Act of 1954, a federal statute, and the territory remains on the United Nations list of non-self-governing territories. She described the</w:t>
      </w:r>
      <w:r>
        <w:t xml:space="preserve"> </w:t>
      </w:r>
      <w:r>
        <w:rPr>
          <w:iCs/>
          <w:i/>
        </w:rPr>
        <w:t xml:space="preserve">Insular Cases</w:t>
      </w:r>
      <w:r>
        <w:t xml:space="preserve">, which since 1901 have allowed the United States to govern overseas territories without fully extending the Constitution, and their explicit racial reasoning, which Justice Gorsuch has urged the Court to repudiate.</w:t>
      </w:r>
      <w:r>
        <w:rPr>
          <w:rStyle w:val="FootnoteReference"/>
        </w:rPr>
        <w:footnoteReference w:id="30"/>
      </w:r>
    </w:p>
    <w:p>
      <w:pPr>
        <w:pStyle w:val="BodyText"/>
      </w:pPr>
      <w:r>
        <w:t xml:space="preserve">Five earlier conventions produced reforms but no ratified constitution: drafts were approved by Congress and rejected by voters, or stalled after federal review. The current convention has fifteen delegates, eleven of them over seventy and five of them women. It began with tensions between districts and</w:t>
      </w:r>
      <w:r>
        <w:t xml:space="preserve"> </w:t>
      </w:r>
      <w:r>
        <w:t xml:space="preserve">“</w:t>
      </w:r>
      <w:r>
        <w:t xml:space="preserve">terribly written rules.</w:t>
      </w:r>
      <w:r>
        <w:t xml:space="preserve">”</w:t>
      </w:r>
      <w:r>
        <w:t xml:space="preserve"> </w:t>
      </w:r>
      <w:r>
        <w:t xml:space="preserve">Delegates have used generative AI for comparative research and drafting, and a younger delegate built an app that records everything the convention does. But public outreach, though required by law and funded, has been minimal. Her lesson for Article V: choosing delegates settles who has authority, but trust, workable rules, and infrastructure still have to be built. She asked the conference two questions:</w:t>
      </w:r>
      <w:r>
        <w:t xml:space="preserve"> </w:t>
      </w:r>
      <w:r>
        <w:t xml:space="preserve">“</w:t>
      </w:r>
      <w:r>
        <w:t xml:space="preserve">Where is the self in self-government when another government controls the boundaries?</w:t>
      </w:r>
      <w:r>
        <w:t xml:space="preserve">”</w:t>
      </w:r>
      <w:r>
        <w:t xml:space="preserve"> </w:t>
      </w:r>
      <w:r>
        <w:t xml:space="preserve">and what place an Article V convention would give to the people of the territories and to the tribes.</w:t>
      </w:r>
    </w:p>
    <w:bookmarkEnd w:id="31"/>
    <w:bookmarkStart w:id="33" w:name="X1cbd875df89d34002248829911cceaf4f58bcbb"/>
    <w:p>
      <w:pPr>
        <w:pStyle w:val="Heading2"/>
      </w:pPr>
      <w:r>
        <w:t xml:space="preserve">David Guldenschuh: the Phoenix precedent and a three-week blueprint</w:t>
      </w:r>
    </w:p>
    <w:p>
      <w:pPr>
        <w:pStyle w:val="FirstParagraph"/>
      </w:pPr>
      <w:r>
        <w:t xml:space="preserve">Guldenschuh, a Georgia lawyer, stressed that an Article V convention is not a constitutional convention. It operates under the Constitution and its rules. He was secretary of the 2017 Balanced Budget Amendment Planning Convention in Phoenix, which he called the first national convention of states since 1861, and said every word of its proceedings was transcribed and published.</w:t>
      </w:r>
    </w:p>
    <w:p>
      <w:pPr>
        <w:pStyle w:val="BodyText"/>
      </w:pPr>
      <w:r>
        <w:t xml:space="preserve">He said the rules are known. He argued that the Supreme Court has directed interpreters to look to the conventions of the founding era, which used one state, one vote, state-appointed delegates, and state instructions. He cited</w:t>
      </w:r>
      <w:r>
        <w:t xml:space="preserve"> </w:t>
      </w:r>
      <w:r>
        <w:rPr>
          <w:iCs/>
          <w:i/>
        </w:rPr>
        <w:t xml:space="preserve">Chiafalo</w:t>
      </w:r>
      <w:r>
        <w:t xml:space="preserve"> </w:t>
      </w:r>
      <w:r>
        <w:t xml:space="preserve">on binding delegates and</w:t>
      </w:r>
      <w:r>
        <w:t xml:space="preserve"> </w:t>
      </w:r>
      <w:r>
        <w:rPr>
          <w:iCs/>
          <w:i/>
        </w:rPr>
        <w:t xml:space="preserve">Dyer v. Blair</w:t>
      </w:r>
      <w:r>
        <w:t xml:space="preserve">, an opinion by then-Judge John Paul Stevens, for the principle that a convention sets its own rules.</w:t>
      </w:r>
      <w:r>
        <w:rPr>
          <w:rStyle w:val="FootnoteReference"/>
        </w:rPr>
        <w:footnoteReference w:id="32"/>
      </w:r>
      <w:r>
        <w:t xml:space="preserve"> </w:t>
      </w:r>
      <w:r>
        <w:t xml:space="preserve">Rules have been drafted by the Phoenix convention, the National Federalism Commission, and others. Faithful delegate laws and the new interstate compact would lock them in. At Phoenix, he said, a delegate who tried to raise an off-topic subject was</w:t>
      </w:r>
      <w:r>
        <w:t xml:space="preserve"> </w:t>
      </w:r>
      <w:r>
        <w:t xml:space="preserve">“</w:t>
      </w:r>
      <w:r>
        <w:t xml:space="preserve">booed down.</w:t>
      </w:r>
      <w:r>
        <w:t xml:space="preserve">”</w:t>
      </w:r>
    </w:p>
    <w:p>
      <w:pPr>
        <w:pStyle w:val="BodyText"/>
      </w:pPr>
      <w:r>
        <w:t xml:space="preserve">His blueprint: once 34 states apply, either through litigation or by marching their legislators to Congress, allow about six months before convening. Host cities will bid. The presiding officers of the host state’s legislature open the convention, which elects officers. Week one: committees and rules. Week two: hearings on the subject. Week three: drafting the amendment and recommending a mode of ratification. Then a national ratification debate.</w:t>
      </w:r>
      <w:r>
        <w:t xml:space="preserve"> </w:t>
      </w:r>
      <w:r>
        <w:t xml:space="preserve">“</w:t>
      </w:r>
      <w:r>
        <w:t xml:space="preserve">Once we have one convention that works, then we’ll have many more after that.</w:t>
      </w:r>
      <w:r>
        <w:t xml:space="preserve">”</w:t>
      </w:r>
      <w:r>
        <w:t xml:space="preserve"> </w:t>
      </w:r>
      <w:r>
        <w:t xml:space="preserve">He urged everyone to read a booklet of</w:t>
      </w:r>
      <w:r>
        <w:t xml:space="preserve"> </w:t>
      </w:r>
      <w:r>
        <w:t xml:space="preserve">“</w:t>
      </w:r>
      <w:r>
        <w:t xml:space="preserve">20 myths</w:t>
      </w:r>
      <w:r>
        <w:t xml:space="preserve">”</w:t>
      </w:r>
      <w:r>
        <w:t xml:space="preserve"> </w:t>
      </w:r>
      <w:r>
        <w:t xml:space="preserve">about a convention.</w:t>
      </w:r>
    </w:p>
    <w:bookmarkEnd w:id="33"/>
    <w:bookmarkEnd w:id="34"/>
    <w:bookmarkStart w:id="35" w:name="discussion-and-questions"/>
    <w:p>
      <w:pPr>
        <w:pStyle w:val="Heading1"/>
      </w:pPr>
      <w:r>
        <w:t xml:space="preserve">Discussion and questions</w:t>
      </w:r>
    </w:p>
    <w:p>
      <w:pPr>
        <w:pStyle w:val="FirstParagraph"/>
      </w:pPr>
      <w:r>
        <w:rPr>
          <w:bCs/>
          <w:b/>
        </w:rPr>
        <w:t xml:space="preserve">Finishing the story.</w:t>
      </w:r>
      <w:r>
        <w:t xml:space="preserve"> </w:t>
      </w:r>
      <w:r>
        <w:t xml:space="preserve">Albert gave his discussion time to Oddsdóttir to finish the Icelandic account, summarized above.</w:t>
      </w:r>
    </w:p>
    <w:p>
      <w:pPr>
        <w:pStyle w:val="BodyText"/>
      </w:pPr>
      <w:r>
        <w:rPr>
          <w:bCs/>
          <w:b/>
        </w:rPr>
        <w:t xml:space="preserve">The National Federalism Commission.</w:t>
      </w:r>
      <w:r>
        <w:t xml:space="preserve"> </w:t>
      </w:r>
      <w:r>
        <w:t xml:space="preserve">Guldenschuh welcomed citizen involvement at the front and back of the process and said the Commission, created at the 2017 convention as a governmental interstate body with appointed delegates from more than 30 states, can carry ideas such as citizens’ assemblies to legislatures.</w:t>
      </w:r>
    </w:p>
    <w:p>
      <w:pPr>
        <w:pStyle w:val="BodyText"/>
      </w:pPr>
      <w:r>
        <w:rPr>
          <w:bCs/>
          <w:b/>
        </w:rPr>
        <w:t xml:space="preserve">Who is in the room.</w:t>
      </w:r>
      <w:r>
        <w:t xml:space="preserve"> </w:t>
      </w:r>
      <w:r>
        <w:t xml:space="preserve">Suiter said assemblies work when participants see</w:t>
      </w:r>
      <w:r>
        <w:t xml:space="preserve"> </w:t>
      </w:r>
      <w:r>
        <w:t xml:space="preserve">“</w:t>
      </w:r>
      <w:r>
        <w:t xml:space="preserve">people like them</w:t>
      </w:r>
      <w:r>
        <w:t xml:space="preserve">”</w:t>
      </w:r>
      <w:r>
        <w:t xml:space="preserve"> </w:t>
      </w:r>
      <w:r>
        <w:t xml:space="preserve">in the room: employed and unemployed, old and young, more and less educated, Native Americans, people who do not usually participate. They must then be protected from money and lobbying. In Ireland, any group that approached a member was barred from presenting to the assembly.</w:t>
      </w:r>
    </w:p>
    <w:p>
      <w:pPr>
        <w:pStyle w:val="BodyText"/>
      </w:pPr>
      <w:r>
        <w:rPr>
          <w:bCs/>
          <w:b/>
        </w:rPr>
        <w:t xml:space="preserve">Tracking public input.</w:t>
      </w:r>
      <w:r>
        <w:t xml:space="preserve"> </w:t>
      </w:r>
      <w:r>
        <w:t xml:space="preserve">A Chilean participant asked whether citizens could see what happened to their input. Daniel said her convention had done</w:t>
      </w:r>
      <w:r>
        <w:t xml:space="preserve"> </w:t>
      </w:r>
      <w:r>
        <w:t xml:space="preserve">“</w:t>
      </w:r>
      <w:r>
        <w:t xml:space="preserve">historically the worst job</w:t>
      </w:r>
      <w:r>
        <w:t xml:space="preserve">”</w:t>
      </w:r>
      <w:r>
        <w:t xml:space="preserve"> </w:t>
      </w:r>
      <w:r>
        <w:t xml:space="preserve">of this and that she would rather have</w:t>
      </w:r>
      <w:r>
        <w:t xml:space="preserve"> </w:t>
      </w:r>
      <w:r>
        <w:t xml:space="preserve">“</w:t>
      </w:r>
      <w:r>
        <w:t xml:space="preserve">a less amazing document and robust public participation.</w:t>
      </w:r>
      <w:r>
        <w:t xml:space="preserve">”</w:t>
      </w:r>
      <w:r>
        <w:t xml:space="preserve"> </w:t>
      </w:r>
      <w:r>
        <w:t xml:space="preserve">Guldenschuh said a national convention will draw massive public attention. Albert described the rule his Jamaican constitutional reform committee used: acknowledge each submission, address it substantively, and archive it.</w:t>
      </w:r>
    </w:p>
    <w:p>
      <w:pPr>
        <w:pStyle w:val="BodyText"/>
      </w:pPr>
      <w:r>
        <w:rPr>
          <w:bCs/>
          <w:b/>
        </w:rPr>
        <w:t xml:space="preserve">Courts.</w:t>
      </w:r>
      <w:r>
        <w:t xml:space="preserve"> </w:t>
      </w:r>
      <w:r>
        <w:t xml:space="preserve">A student challenged Guldenschuh: if the Supreme Court looks to founding-era conventions, it is still an institution many Americans distrust, and the composition of state ratifying conventions is unknown. Guldenschuh said the Court has handled Article V thoughtfully, that an originalist majority fits a founding-era approach, and that ratifying conventions with pledged delegates would give citizens a voice. Codrington, from the audience, asked which Supreme Court cases direct courts to founding-era convention practice, saying he did not think they existed, and asked how to make conventions diverse, since the model conventions he had seen looked</w:t>
      </w:r>
      <w:r>
        <w:t xml:space="preserve"> </w:t>
      </w:r>
      <w:r>
        <w:t xml:space="preserve">“</w:t>
      </w:r>
      <w:r>
        <w:t xml:space="preserve">about as diverse as the original constitutional convention.</w:t>
      </w:r>
      <w:r>
        <w:t xml:space="preserve">”</w:t>
      </w:r>
      <w:r>
        <w:t xml:space="preserve"> </w:t>
      </w:r>
      <w:r>
        <w:t xml:space="preserve">Guldenschuh offered to autograph the booklet for him but did not name the cases in the remaining time.</w:t>
      </w:r>
    </w:p>
    <w:p>
      <w:pPr>
        <w:pStyle w:val="BodyText"/>
      </w:pPr>
      <w:r>
        <w:rPr>
          <w:bCs/>
          <w:b/>
        </w:rPr>
        <w:t xml:space="preserve">Funding.</w:t>
      </w:r>
      <w:r>
        <w:t xml:space="preserve"> </w:t>
      </w:r>
      <w:r>
        <w:t xml:space="preserve">A questioner asked how the National Federalism Commission is funded and whether it is aligned with ALEC. Guldenschuh said it has no relationship with ALEC, though some members belong to both, and that its</w:t>
      </w:r>
      <w:r>
        <w:t xml:space="preserve"> </w:t>
      </w:r>
      <w:r>
        <w:t xml:space="preserve">“</w:t>
      </w:r>
      <w:r>
        <w:t xml:space="preserve">very tiny</w:t>
      </w:r>
      <w:r>
        <w:t xml:space="preserve">”</w:t>
      </w:r>
      <w:r>
        <w:t xml:space="preserve"> </w:t>
      </w:r>
      <w:r>
        <w:t xml:space="preserve">budget comes from state legislatures.</w:t>
      </w:r>
    </w:p>
    <w:p>
      <w:pPr>
        <w:pStyle w:val="BodyText"/>
      </w:pPr>
      <w:r>
        <w:rPr>
          <w:bCs/>
          <w:b/>
        </w:rPr>
        <w:t xml:space="preserve">Capacity.</w:t>
      </w:r>
      <w:r>
        <w:t xml:space="preserve"> </w:t>
      </w:r>
      <w:r>
        <w:t xml:space="preserve">Daniel cautioned that random selection from populations with low literacy or civic exposure raises different questions than it does in Nordic countries. Oddsdóttir said Iceland stratified its forum by gender, age, and region, and that it is</w:t>
      </w:r>
      <w:r>
        <w:t xml:space="preserve"> </w:t>
      </w:r>
      <w:r>
        <w:t xml:space="preserve">“</w:t>
      </w:r>
      <w:r>
        <w:t xml:space="preserve">not an impossible task.</w:t>
      </w:r>
      <w:r>
        <w:t xml:space="preserve">”</w:t>
      </w:r>
    </w:p>
    <w:p>
      <w:pPr>
        <w:pStyle w:val="BodyText"/>
      </w:pPr>
      <w:r>
        <w:rPr>
          <w:bCs/>
          <w:b/>
        </w:rPr>
        <w:t xml:space="preserve">France and the meaning of a constitution.</w:t>
      </w:r>
      <w:r>
        <w:t xml:space="preserve"> </w:t>
      </w:r>
      <w:r>
        <w:t xml:space="preserve">Albert said France has had fifteen constitutions to America’s one or two, and that the United States should amend more, not necessarily replace. He prefers to think of a constitution</w:t>
      </w:r>
      <w:r>
        <w:t xml:space="preserve"> </w:t>
      </w:r>
      <w:r>
        <w:t xml:space="preserve">“</w:t>
      </w:r>
      <w:r>
        <w:t xml:space="preserve">as a verb,</w:t>
      </w:r>
      <w:r>
        <w:t xml:space="preserve">”</w:t>
      </w:r>
      <w:r>
        <w:t xml:space="preserve"> </w:t>
      </w:r>
      <w:r>
        <w:t xml:space="preserve">the continuous work of constituting ourselves.</w:t>
      </w:r>
    </w:p>
    <w:bookmarkEnd w:id="35"/>
    <w:bookmarkStart w:id="36" w:name="how-the-debate-stands-after-session-8"/>
    <w:p>
      <w:pPr>
        <w:pStyle w:val="Heading1"/>
      </w:pPr>
      <w:r>
        <w:t xml:space="preserve">How the debate stands after Session 8</w:t>
      </w:r>
    </w:p>
    <w:p>
      <w:pPr>
        <w:pStyle w:val="FirstParagraph"/>
      </w:pPr>
      <w:r>
        <w:t xml:space="preserve">The panel supplied what the skeptics said was missing: worked examples of rules, delegate selection, and public involvement. But the examples also showed how far Article V is from the designs that worked. Every successful process described used some combination of randomly selected citizens and a direct popular vote. Article V provides neither. Albert’s experts judged a constitution that leaves delegate selection unspecified to be defective, and said legal limits on a convention are valid but hard to enforce in practice, the same gap Rappaport identified in the morning.</w:t>
      </w:r>
    </w:p>
    <w:p>
      <w:pPr>
        <w:pStyle w:val="BodyText"/>
      </w:pPr>
      <w:r>
        <w:t xml:space="preserve">The panel strengthened Lessig’s proposal and identified its pressure points. Suiter and Oddsdóttir endorsed binding delegates to citizens rather than to legislatures, which is the core of his idea. Iceland showed why: a citizens’ process without binding force can be ignored. Suiter’s two suggestions, a citizens’ verdict on the final text and citizen delegates at the convention, would strengthen the end and middle of the chain. Her observation that topic-bound delegates cannot trade across subjects names a real cost: the binding that prevents a runaway also limits deliberation.</w:t>
      </w:r>
    </w:p>
    <w:p>
      <w:pPr>
        <w:pStyle w:val="BodyText"/>
      </w:pPr>
      <w:r>
        <w:t xml:space="preserve">Guldenschuh’s account of Phoenix is the proponents’ best evidence that a convention of states can stay on topic, though Phoenix was a planning convention with no amendment at stake. His claim that the Supreme Court has endorsed founding-era convention practice went unsupported when Codrington asked for the cases;</w:t>
      </w:r>
      <w:r>
        <w:t xml:space="preserve"> </w:t>
      </w:r>
      <w:r>
        <w:rPr>
          <w:iCs/>
          <w:i/>
        </w:rPr>
        <w:t xml:space="preserve">Dyer</w:t>
      </w:r>
      <w:r>
        <w:t xml:space="preserve"> </w:t>
      </w:r>
      <w:r>
        <w:t xml:space="preserve">is a district court decision, and</w:t>
      </w:r>
      <w:r>
        <w:t xml:space="preserve"> </w:t>
      </w:r>
      <w:r>
        <w:rPr>
          <w:iCs/>
          <w:i/>
        </w:rPr>
        <w:t xml:space="preserve">Chiafalo</w:t>
      </w:r>
      <w:r>
        <w:t xml:space="preserve"> </w:t>
      </w:r>
      <w:r>
        <w:t xml:space="preserve">concerned electors. That matters because proponents’ confidence in known rules rests partly on it.</w:t>
      </w:r>
    </w:p>
    <w:p>
      <w:pPr>
        <w:pStyle w:val="BodyText"/>
      </w:pPr>
      <w:r>
        <w:t xml:space="preserve">The panel also widened the debate. Daniel’s and the earlier tribal questioner’s points mean that</w:t>
      </w:r>
      <w:r>
        <w:t xml:space="preserve"> </w:t>
      </w:r>
      <w:r>
        <w:t xml:space="preserve">“</w:t>
      </w:r>
      <w:r>
        <w:t xml:space="preserve">the people</w:t>
      </w:r>
      <w:r>
        <w:t xml:space="preserve">”</w:t>
      </w:r>
      <w:r>
        <w:t xml:space="preserve"> </w:t>
      </w:r>
      <w:r>
        <w:t xml:space="preserve">of an Article V convention, as currently structured, exclude millions of Americans in the territories and treat tribal sovereignty as an afterthought.</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8</w:t>
            </w:r>
          </w:p>
        </w:tc>
      </w:tr>
      <w:tr>
        <w:tc>
          <w:tcPr/>
          <w:p>
            <w:pPr>
              <w:pStyle w:val="Compact"/>
              <w:jc w:val="left"/>
            </w:pPr>
            <w:r>
              <w:t xml:space="preserve">Can a convention be held to its subject?</w:t>
            </w:r>
          </w:p>
        </w:tc>
        <w:tc>
          <w:tcPr/>
          <w:p>
            <w:pPr>
              <w:pStyle w:val="Compact"/>
              <w:jc w:val="left"/>
            </w:pPr>
            <w:r>
              <w:t xml:space="preserve">Albert’s experts: limits are legally valid (81 percent) but hard to enforce (77 percent). Guldenschuh: Phoenix stayed on topic. Suiter: binding prevents trades across topics.</w:t>
            </w:r>
          </w:p>
        </w:tc>
      </w:tr>
      <w:tr>
        <w:tc>
          <w:tcPr/>
          <w:p>
            <w:pPr>
              <w:pStyle w:val="Compact"/>
              <w:jc w:val="left"/>
            </w:pPr>
            <w:r>
              <w:t xml:space="preserve">What rules would govern?</w:t>
            </w:r>
          </w:p>
        </w:tc>
        <w:tc>
          <w:tcPr/>
          <w:p>
            <w:pPr>
              <w:pStyle w:val="Compact"/>
              <w:jc w:val="left"/>
            </w:pPr>
            <w:r>
              <w:t xml:space="preserve">Proponents point to Phoenix, National Federalism Commission rules, faithful delegate laws, and the compact. Experts say rules should be enacted well in advance; Congress never has.</w:t>
            </w:r>
          </w:p>
        </w:tc>
      </w:tr>
      <w:tr>
        <w:tc>
          <w:tcPr/>
          <w:p>
            <w:pPr>
              <w:pStyle w:val="Compact"/>
              <w:jc w:val="left"/>
            </w:pPr>
            <w:r>
              <w:t xml:space="preserve">Who would serve, and how would they be chosen?</w:t>
            </w:r>
          </w:p>
        </w:tc>
        <w:tc>
          <w:tcPr/>
          <w:p>
            <w:pPr>
              <w:pStyle w:val="Compact"/>
              <w:jc w:val="left"/>
            </w:pPr>
            <w:r>
              <w:t xml:space="preserve">Experts: unspecified delegate selection is a defect (86 percent); minorities must be represented (91 percent). Suiter and Oddsdóttir favor sortition. Guldenschuh: legislatures choose, and can be persuaded to involve citizens.</w:t>
            </w:r>
          </w:p>
        </w:tc>
      </w:tr>
      <w:tr>
        <w:tc>
          <w:tcPr/>
          <w:p>
            <w:pPr>
              <w:pStyle w:val="Compact"/>
              <w:jc w:val="left"/>
            </w:pPr>
            <w:r>
              <w:t xml:space="preserve">How should delegates be bound?</w:t>
            </w:r>
          </w:p>
        </w:tc>
        <w:tc>
          <w:tcPr/>
          <w:p>
            <w:pPr>
              <w:pStyle w:val="Compact"/>
              <w:jc w:val="left"/>
            </w:pPr>
            <w:r>
              <w:t xml:space="preserve">Oddsdóttir: to the people, not the legislature. Suiter: add citizen delegates and a citizens’ verdict on the final text.</w:t>
            </w:r>
          </w:p>
        </w:tc>
      </w:tr>
      <w:tr>
        <w:tc>
          <w:tcPr/>
          <w:p>
            <w:pPr>
              <w:pStyle w:val="Compact"/>
              <w:jc w:val="left"/>
            </w:pPr>
            <w:r>
              <w:t xml:space="preserve">Who decides disputes?</w:t>
            </w:r>
          </w:p>
        </w:tc>
        <w:tc>
          <w:tcPr/>
          <w:p>
            <w:pPr>
              <w:pStyle w:val="Compact"/>
              <w:jc w:val="left"/>
            </w:pPr>
            <w:r>
              <w:t xml:space="preserve">Experts favor courts. Guldenschuh trusts the current Court; Codrington challenged him to cite the cases, without an answer.</w:t>
            </w:r>
          </w:p>
        </w:tc>
      </w:tr>
      <w:tr>
        <w:tc>
          <w:tcPr/>
          <w:p>
            <w:pPr>
              <w:pStyle w:val="Compact"/>
              <w:jc w:val="left"/>
            </w:pPr>
            <w:r>
              <w:t xml:space="preserve">Is ratification by 38 states a sufficient safeguard?</w:t>
            </w:r>
          </w:p>
        </w:tc>
        <w:tc>
          <w:tcPr/>
          <w:p>
            <w:pPr>
              <w:pStyle w:val="Compact"/>
              <w:jc w:val="left"/>
            </w:pPr>
            <w:r>
              <w:t xml:space="preserve">Experts favor a popular vote with minimum turnout. Article V has none; state ratifying conventions with pledged delegates are the closest substitute.</w:t>
            </w:r>
          </w:p>
        </w:tc>
      </w:tr>
      <w:tr>
        <w:tc>
          <w:tcPr/>
          <w:p>
            <w:pPr>
              <w:pStyle w:val="Compact"/>
              <w:jc w:val="left"/>
            </w:pPr>
            <w:r>
              <w:t xml:space="preserve">Can ordinary citizens do this?</w:t>
            </w:r>
          </w:p>
        </w:tc>
        <w:tc>
          <w:tcPr/>
          <w:p>
            <w:pPr>
              <w:pStyle w:val="Compact"/>
              <w:jc w:val="left"/>
            </w:pPr>
            <w:r>
              <w:t xml:space="preserve">Ireland, Iceland, and Walker’s forums say yes for small, well-run bodies. Daniel cautioned about unequal civic capacity.</w:t>
            </w:r>
          </w:p>
        </w:tc>
      </w:tr>
      <w:tr>
        <w:tc>
          <w:tcPr/>
          <w:p>
            <w:pPr>
              <w:pStyle w:val="Compact"/>
              <w:jc w:val="left"/>
            </w:pPr>
            <w:r>
              <w:t xml:space="preserve">What about tribes and territories?</w:t>
            </w:r>
          </w:p>
        </w:tc>
        <w:tc>
          <w:tcPr/>
          <w:p>
            <w:pPr>
              <w:pStyle w:val="Compact"/>
              <w:jc w:val="left"/>
            </w:pPr>
            <w:r>
              <w:t xml:space="preserve">Daniel asked where they fit. No proponent has answered.</w:t>
            </w:r>
          </w:p>
        </w:tc>
      </w:tr>
    </w:tbl>
    <w:bookmarkEnd w:id="36"/>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Panel IV, Blueprints: State Conventions and International Models, V the People Conference, Harvard Law School (Oct. 3, 2026) (on file with the conference organizers). Quotations are lightly corrected for obvious transcription errors, and names are corrected against the conference roster. Albert’s survey figures are as he presented them at the conference.</w:t>
      </w:r>
    </w:p>
  </w:footnote>
  <w:footnote w:id="22">
    <w:p>
      <w:pPr>
        <w:pStyle w:val="FootnoteText"/>
      </w:pPr>
      <w:r>
        <w:rPr>
          <w:rStyle w:val="FootnoteReference"/>
        </w:rPr>
        <w:footnoteRef/>
      </w:r>
      <w:r>
        <w:t xml:space="preserve"> </w:t>
      </w:r>
      <w:r>
        <w:t xml:space="preserve">Ir. Const., 1937, art. 46. The 2015 marriage referendum passed with about 62 percent; the 2018 referendum repealing the Eighth Amendment passed with about 66 percent; the 2015 proposal to lower the age of presidential candidates and the two 2024 proposals on family and care were rejected by large margins.</w:t>
      </w:r>
    </w:p>
  </w:footnote>
  <w:footnote w:id="23">
    <w:p>
      <w:pPr>
        <w:pStyle w:val="FootnoteText"/>
      </w:pPr>
      <w:r>
        <w:rPr>
          <w:rStyle w:val="FootnoteReference"/>
        </w:rPr>
        <w:footnoteRef/>
      </w:r>
      <w:r>
        <w:t xml:space="preserve"> </w:t>
      </w:r>
      <w:r>
        <w:t xml:space="preserve">The draft was presented to parliament in July 2011 and endorsed as the basis of a new constitution by about two-thirds of voters in a nonbinding referendum on October 20, 2012.</w:t>
      </w:r>
    </w:p>
  </w:footnote>
  <w:footnote w:id="24">
    <w:p>
      <w:pPr>
        <w:pStyle w:val="FootnoteText"/>
      </w:pPr>
      <w:r>
        <w:rPr>
          <w:rStyle w:val="FootnoteReference"/>
        </w:rPr>
        <w:footnoteRef/>
      </w:r>
      <w:r>
        <w:t xml:space="preserve"> </w:t>
      </w:r>
      <w:r>
        <w:t xml:space="preserve">Revised Organic Act of the Virgin Islands, ch. 558, 68 Stat. 497 (1954) (codified as amended at 48 U.S.C. §§ 1541–1645).</w:t>
      </w:r>
    </w:p>
  </w:footnote>
  <w:footnote w:id="26">
    <w:p>
      <w:pPr>
        <w:pStyle w:val="FootnoteText"/>
      </w:pPr>
      <w:r>
        <w:rPr>
          <w:rStyle w:val="FootnoteReference"/>
        </w:rPr>
        <w:footnoteRef/>
      </w:r>
      <w:r>
        <w:t xml:space="preserve"> </w:t>
      </w:r>
      <w:r>
        <w:rPr>
          <w:iCs/>
          <w:i/>
        </w:rPr>
        <w:t xml:space="preserve">See generally</w:t>
      </w:r>
      <w:r>
        <w:t xml:space="preserve"> </w:t>
      </w:r>
      <w:r>
        <w:t xml:space="preserve">Richard Albert, Constitutional Amendments: Making, Breaking, and Changing Constitutions (2019).</w:t>
      </w:r>
    </w:p>
  </w:footnote>
  <w:footnote w:id="30">
    <w:p>
      <w:pPr>
        <w:pStyle w:val="FootnoteText"/>
      </w:pPr>
      <w:r>
        <w:rPr>
          <w:rStyle w:val="FootnoteReference"/>
        </w:rPr>
        <w:footnoteRef/>
      </w:r>
      <w:r>
        <w:t xml:space="preserve"> </w:t>
      </w:r>
      <w:r>
        <w:rPr>
          <w:iCs/>
          <w:i/>
        </w:rPr>
        <w:t xml:space="preserve">See</w:t>
      </w:r>
      <w:r>
        <w:t xml:space="preserve"> </w:t>
      </w:r>
      <w:r>
        <w:t xml:space="preserve">Downes v. Bidwell, 182 U.S. 244 (1901); United States v. Vaello Madero, 596 U.S. 159 (2022) (Gorsuch, J., concurring).</w:t>
      </w:r>
    </w:p>
  </w:footnote>
  <w:footnote w:id="32">
    <w:p>
      <w:pPr>
        <w:pStyle w:val="FootnoteText"/>
      </w:pPr>
      <w:r>
        <w:rPr>
          <w:rStyle w:val="FootnoteReference"/>
        </w:rPr>
        <w:footnoteRef/>
      </w:r>
      <w:r>
        <w:t xml:space="preserve"> </w:t>
      </w:r>
      <w:r>
        <w:t xml:space="preserve">Dyer v. Blair, 390 F. Supp. 1291 (N.D. Ill. 1975) (three-judge court); Chiafalo v. Washington, 591 U.S. 578 (2020).</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8: Panel IV, Blueprints: State Conventions and International Models</dc:title>
  <dc:creator/>
  <cp:keywords/>
  <dcterms:created xsi:type="dcterms:W3CDTF">2026-10-19T14:17:04Z</dcterms:created>
  <dcterms:modified xsi:type="dcterms:W3CDTF">2026-10-19T14:17:04Z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