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Session</w:t>
      </w:r>
      <w:r>
        <w:t xml:space="preserve"> </w:t>
      </w:r>
      <w:r>
        <w:t xml:space="preserve">7:</w:t>
      </w:r>
      <w:r>
        <w:t xml:space="preserve"> </w:t>
      </w:r>
      <w:r>
        <w:t xml:space="preserve">Panel</w:t>
      </w:r>
      <w:r>
        <w:t xml:space="preserve"> </w:t>
      </w:r>
      <w:r>
        <w:t xml:space="preserve">III,</w:t>
      </w:r>
      <w:r>
        <w:t xml:space="preserve"> </w:t>
      </w:r>
      <w:r>
        <w:t xml:space="preserve">The</w:t>
      </w:r>
      <w:r>
        <w:t xml:space="preserve"> </w:t>
      </w:r>
      <w:r>
        <w:t xml:space="preserve">Case</w:t>
      </w:r>
      <w:r>
        <w:t xml:space="preserve"> </w:t>
      </w:r>
      <w:r>
        <w:t xml:space="preserve">Against:</w:t>
      </w:r>
      <w:r>
        <w:t xml:space="preserve"> </w:t>
      </w:r>
      <w:r>
        <w:t xml:space="preserve">Risks,</w:t>
      </w:r>
      <w:r>
        <w:t xml:space="preserve"> </w:t>
      </w:r>
      <w:r>
        <w:t xml:space="preserve">Runaway</w:t>
      </w:r>
      <w:r>
        <w:t xml:space="preserve"> </w:t>
      </w:r>
      <w:r>
        <w:t xml:space="preserve">Fears,</w:t>
      </w:r>
      <w:r>
        <w:t xml:space="preserve"> </w:t>
      </w:r>
      <w:r>
        <w:t xml:space="preserve">and</w:t>
      </w:r>
      <w:r>
        <w:t xml:space="preserve"> </w:t>
      </w:r>
      <w:r>
        <w:t xml:space="preserve">the</w:t>
      </w:r>
      <w:r>
        <w:t xml:space="preserve"> </w:t>
      </w:r>
      <w:r>
        <w:t xml:space="preserve">‘</w:t>
      </w:r>
      <w:r>
        <w:t xml:space="preserve">Dead</w:t>
      </w:r>
      <w:r>
        <w:t xml:space="preserve"> </w:t>
      </w:r>
      <w:r>
        <w:t xml:space="preserve">Letter</w:t>
      </w:r>
      <w:r>
        <w:t xml:space="preserve">’</w:t>
      </w:r>
      <w:r>
        <w:t xml:space="preserve"> </w:t>
      </w:r>
      <w:r>
        <w:t xml:space="preserve">View</w:t>
      </w:r>
    </w:p>
    <w:p>
      <w:pPr>
        <w:pStyle w:val="Subtitle"/>
      </w:pPr>
      <w:r>
        <w:t xml:space="preserve">V</w:t>
      </w:r>
      <w:r>
        <w:t xml:space="preserve"> </w:t>
      </w:r>
      <w:r>
        <w:t xml:space="preserve">the</w:t>
      </w:r>
      <w:r>
        <w:t xml:space="preserve"> </w:t>
      </w:r>
      <w:r>
        <w:t xml:space="preserve">People</w:t>
      </w:r>
      <w:r>
        <w:t xml:space="preserve"> </w:t>
      </w:r>
      <w:r>
        <w:t xml:space="preserve">Conference</w:t>
      </w:r>
      <w:r>
        <w:t xml:space="preserve"> </w:t>
      </w:r>
      <w:r>
        <w:t xml:space="preserve">on</w:t>
      </w:r>
      <w:r>
        <w:t xml:space="preserve"> </w:t>
      </w:r>
      <w:r>
        <w:t xml:space="preserve">an</w:t>
      </w:r>
      <w:r>
        <w:t xml:space="preserve"> </w:t>
      </w:r>
      <w:r>
        <w:t xml:space="preserve">Article</w:t>
      </w:r>
      <w:r>
        <w:t xml:space="preserve"> </w:t>
      </w:r>
      <w:r>
        <w:t xml:space="preserve">V</w:t>
      </w:r>
      <w:r>
        <w:t xml:space="preserve"> </w:t>
      </w:r>
      <w:r>
        <w:t xml:space="preserve">Convention</w:t>
      </w:r>
      <w:r>
        <w:t xml:space="preserve"> </w:t>
      </w:r>
      <w:r>
        <w:t xml:space="preserve">·</w:t>
      </w:r>
      <w:r>
        <w:t xml:space="preserve"> </w:t>
      </w:r>
      <w:r>
        <w:t xml:space="preserve">Harvard</w:t>
      </w:r>
      <w:r>
        <w:t xml:space="preserve"> </w:t>
      </w:r>
      <w:r>
        <w:t xml:space="preserve">Law</w:t>
      </w:r>
      <w:r>
        <w:t xml:space="preserve"> </w:t>
      </w:r>
      <w:r>
        <w:t xml:space="preserve">School</w:t>
      </w:r>
      <w:r>
        <w:t xml:space="preserve"> </w:t>
      </w:r>
      <w:r>
        <w:t xml:space="preserve">·</w:t>
      </w:r>
      <w:r>
        <w:t xml:space="preserve"> </w:t>
      </w:r>
      <w:r>
        <w:t xml:space="preserve">Saturday,</w:t>
      </w:r>
      <w:r>
        <w:t xml:space="preserve"> </w:t>
      </w:r>
      <w:r>
        <w:t xml:space="preserve">October</w:t>
      </w:r>
      <w:r>
        <w:t xml:space="preserve"> </w:t>
      </w:r>
      <w:r>
        <w:t xml:space="preserve">3,</w:t>
      </w:r>
      <w:r>
        <w:t xml:space="preserve"> </w:t>
      </w:r>
      <w:r>
        <w:t xml:space="preserve">2026</w:t>
      </w:r>
    </w:p>
    <w:tbl>
      <w:tblPr>
        <w:tblStyle w:val="Table"/>
        <w:tblW w:type="pct" w:w="5000"/>
        <w:tblLook w:firstRow="0" w:lastRow="0" w:firstColumn="0" w:lastColumn="0" w:noHBand="0" w:noVBand="0" w:val="0000"/>
        <w:jc w:val="start"/>
      </w:tblPr>
      <w:tblGrid>
        <w:gridCol w:w="2066"/>
        <w:gridCol w:w="5853"/>
      </w:tblGrid>
      <w:tr>
        <w:tc>
          <w:tcPr/>
          <w:p>
            <w:pPr>
              <w:pStyle w:val="Compact"/>
              <w:jc w:val="left"/>
            </w:pPr>
            <w:r>
              <w:t xml:space="preserve">Program slot</w:t>
            </w:r>
          </w:p>
        </w:tc>
        <w:tc>
          <w:tcPr/>
          <w:p>
            <w:pPr>
              <w:pStyle w:val="Compact"/>
              <w:jc w:val="left"/>
            </w:pPr>
            <w:r>
              <w:t xml:space="preserve">2:00 p.m.</w:t>
            </w:r>
          </w:p>
        </w:tc>
      </w:tr>
      <w:tr>
        <w:tc>
          <w:tcPr/>
          <w:p>
            <w:pPr>
              <w:pStyle w:val="Compact"/>
              <w:jc w:val="left"/>
            </w:pPr>
            <w:r>
              <w:t xml:space="preserve">Panelists</w:t>
            </w:r>
          </w:p>
        </w:tc>
        <w:tc>
          <w:tcPr/>
          <w:p>
            <w:pPr>
              <w:pStyle w:val="Compact"/>
              <w:jc w:val="left"/>
            </w:pPr>
            <w:r>
              <w:t xml:space="preserve">Russ Feingold, former U.S. Senator from Wisconsin and former president of the American Constitution Society. Viki Harrison, Policy Director, Civil Rights and Civil Liberties, Common Cause. David Super, Carmack Waterhouse Professor of Law and Economics, Georgetown University Law Center. Wilfred Codrington III, Walter Floersheimer Professor of Constitutional Law, Cardozo School of Law.</w:t>
            </w:r>
          </w:p>
        </w:tc>
      </w:tr>
      <w:tr>
        <w:tc>
          <w:tcPr/>
          <w:p>
            <w:pPr>
              <w:pStyle w:val="Compact"/>
              <w:jc w:val="left"/>
            </w:pPr>
            <w:r>
              <w:t xml:space="preserve">Moderator</w:t>
            </w:r>
          </w:p>
        </w:tc>
        <w:tc>
          <w:tcPr/>
          <w:p>
            <w:pPr>
              <w:pStyle w:val="Compact"/>
              <w:jc w:val="left"/>
            </w:pPr>
            <w:r>
              <w:t xml:space="preserve">Stephen Sachs, Antonin Scalia Professor of Law, Harvard Law School</w:t>
            </w:r>
          </w:p>
        </w:tc>
      </w:tr>
      <w:tr>
        <w:tc>
          <w:tcPr/>
          <w:p>
            <w:pPr>
              <w:pStyle w:val="Compact"/>
              <w:jc w:val="left"/>
            </w:pPr>
            <w:r>
              <w:t xml:space="preserve">Recording</w:t>
            </w:r>
          </w:p>
        </w:tc>
        <w:tc>
          <w:tcPr/>
          <w:p>
            <w:pPr>
              <w:pStyle w:val="Compact"/>
              <w:jc w:val="left"/>
            </w:pPr>
            <w:r>
              <w:t xml:space="preserve">About 78 minutes</w:t>
            </w:r>
          </w:p>
        </w:tc>
      </w:tr>
    </w:tbl>
    <w:bookmarkStart w:id="21" w:name="in-brief"/>
    <w:p>
      <w:pPr>
        <w:pStyle w:val="Heading1"/>
      </w:pPr>
      <w:r>
        <w:t xml:space="preserve">In brief</w:t>
      </w:r>
    </w:p>
    <w:p>
      <w:pPr>
        <w:pStyle w:val="FirstParagraph"/>
      </w:pPr>
      <w:r>
        <w:t xml:space="preserve">The skeptics’ panel changed the shape of the debate. All four panelists said the Constitution needs amendment. None of them rested their opposition mainly on the runaway fear that had occupied the morning. They argued instead that the problem lies in who would control a convention, by what rules, and with what referee. Russ Feingold described the convention movement as funded and organized by the far right and pointed to Convention of States simulations that endorsed a power for states to nullify federal law. Viki Harrison said her central objection is that Article V has no rules. David Super argued that a convention is</w:t>
      </w:r>
      <w:r>
        <w:t xml:space="preserve"> </w:t>
      </w:r>
      <w:r>
        <w:t xml:space="preserve">“</w:t>
      </w:r>
      <w:r>
        <w:t xml:space="preserve">forum shopping</w:t>
      </w:r>
      <w:r>
        <w:t xml:space="preserve">”</w:t>
      </w:r>
      <w:r>
        <w:t xml:space="preserve"> </w:t>
      </w:r>
      <w:r>
        <w:t xml:space="preserve">that would move power from Congress to state legislatures, which Republicans control, and that the leading proposal, a balanced budget amendment, would itself do great harm. Wilfred Codrington argued that the gravest danger is a Supreme Court that would intervene opportunistically in a process the Constitution leaves to politics.</w:t>
      </w:r>
      <w:r>
        <w:rPr>
          <w:rStyle w:val="FootnoteReference"/>
        </w:rPr>
        <w:footnoteReference w:id="20"/>
      </w:r>
    </w:p>
    <w:p>
      <w:pPr>
        <w:pStyle w:val="BodyText"/>
      </w:pPr>
      <w:r>
        <w:t xml:space="preserve">The panel also challenged the conference itself. Feingold said it was</w:t>
      </w:r>
      <w:r>
        <w:t xml:space="preserve"> </w:t>
      </w:r>
      <w:r>
        <w:t xml:space="preserve">“</w:t>
      </w:r>
      <w:r>
        <w:t xml:space="preserve">a workshop to promote a constitutional convention,</w:t>
      </w:r>
      <w:r>
        <w:t xml:space="preserve">”</w:t>
      </w:r>
      <w:r>
        <w:t xml:space="preserve"> </w:t>
      </w:r>
      <w:r>
        <w:t xml:space="preserve">not a balanced discussion, and Harrison objected that opponents had been called</w:t>
      </w:r>
      <w:r>
        <w:t xml:space="preserve"> </w:t>
      </w:r>
      <w:r>
        <w:t xml:space="preserve">“</w:t>
      </w:r>
      <w:r>
        <w:t xml:space="preserve">fearmongers</w:t>
      </w:r>
      <w:r>
        <w:t xml:space="preserve">”</w:t>
      </w:r>
      <w:r>
        <w:t xml:space="preserve"> </w:t>
      </w:r>
      <w:r>
        <w:t xml:space="preserve">and worse more than ten times since the previous evening. In place of a convention, the panelists favored building a broad social movement first and, as the moderator’s lightning round showed, reforming Article V itself: requiring elected delegates, real subject limits, popular votes, or lower thresholds.</w:t>
      </w:r>
    </w:p>
    <w:bookmarkEnd w:id="21"/>
    <w:bookmarkStart w:id="25" w:name="context"/>
    <w:p>
      <w:pPr>
        <w:pStyle w:val="Heading1"/>
      </w:pPr>
      <w:r>
        <w:t xml:space="preserve">Context</w:t>
      </w:r>
    </w:p>
    <w:p>
      <w:pPr>
        <w:pStyle w:val="FirstParagraph"/>
      </w:pPr>
      <w:r>
        <w:t xml:space="preserve">This was the only panel devoted to the case against. By this point the proponents had offered a layered set of safeguards: applications limited to one subject, state laws binding delegates on the model of</w:t>
      </w:r>
      <w:r>
        <w:t xml:space="preserve"> </w:t>
      </w:r>
      <w:r>
        <w:rPr>
          <w:iCs/>
          <w:i/>
        </w:rPr>
        <w:t xml:space="preserve">Chiafalo</w:t>
      </w:r>
      <w:r>
        <w:t xml:space="preserve">, a proposed interstate compact fixing one state, one vote and the convention’s scope, and ratification by 38 states. Lessig had added citizens’ assemblies and a 13-state preemptive veto. The previous panel had also exposed a tension within the movement over whether old and plenary applications can be counted together. Each of those points was challenged here.</w:t>
      </w:r>
    </w:p>
    <w:p>
      <w:pPr>
        <w:pStyle w:val="BodyText"/>
      </w:pPr>
      <w:r>
        <w:t xml:space="preserve">The skeptics’ leading text is Feingold and Peter Prindiville’s 2022 book,</w:t>
      </w:r>
      <w:r>
        <w:t xml:space="preserve"> </w:t>
      </w:r>
      <w:r>
        <w:rPr>
          <w:iCs/>
          <w:i/>
        </w:rPr>
        <w:t xml:space="preserve">The Constitution in Jeopardy</w:t>
      </w:r>
      <w:r>
        <w:t xml:space="preserve">.</w:t>
      </w:r>
      <w:r>
        <w:rPr>
          <w:rStyle w:val="FootnoteReference"/>
        </w:rPr>
        <w:footnoteReference w:id="22"/>
      </w:r>
      <w:r>
        <w:t xml:space="preserve"> </w:t>
      </w:r>
      <w:r>
        <w:t xml:space="preserve">Codrington co-wrote</w:t>
      </w:r>
      <w:r>
        <w:t xml:space="preserve"> </w:t>
      </w:r>
      <w:r>
        <w:rPr>
          <w:iCs/>
          <w:i/>
        </w:rPr>
        <w:t xml:space="preserve">The People’s Constitution</w:t>
      </w:r>
      <w:r>
        <w:t xml:space="preserve">, a history of the amendments.</w:t>
      </w:r>
      <w:r>
        <w:rPr>
          <w:rStyle w:val="FootnoteReference"/>
        </w:rPr>
        <w:footnoteReference w:id="23"/>
      </w:r>
      <w:r>
        <w:t xml:space="preserve"> </w:t>
      </w:r>
      <w:r>
        <w:t xml:space="preserve">Common Cause has opposed an Article V convention for decades and has urged legislatures to rescind applications, including applications on money in politics that it otherwise supports.</w:t>
      </w:r>
      <w:r>
        <w:rPr>
          <w:rStyle w:val="FootnoteReference"/>
        </w:rPr>
        <w:footnoteReference w:id="24"/>
      </w:r>
    </w:p>
    <w:bookmarkEnd w:id="25"/>
    <w:bookmarkStart w:id="38" w:name="opening-statements"/>
    <w:p>
      <w:pPr>
        <w:pStyle w:val="Heading1"/>
      </w:pPr>
      <w:r>
        <w:t xml:space="preserve">Opening statements</w:t>
      </w:r>
    </w:p>
    <w:bookmarkStart w:id="26" w:name="russ-feingold"/>
    <w:p>
      <w:pPr>
        <w:pStyle w:val="Heading2"/>
      </w:pPr>
      <w:r>
        <w:t xml:space="preserve">Russ Feingold</w:t>
      </w:r>
    </w:p>
    <w:p>
      <w:pPr>
        <w:pStyle w:val="FirstParagraph"/>
      </w:pPr>
      <w:r>
        <w:t xml:space="preserve">Feingold said he was unsure he should have come. He agreed the Constitution must change, but feared lending</w:t>
      </w:r>
      <w:r>
        <w:t xml:space="preserve"> </w:t>
      </w:r>
      <w:r>
        <w:t xml:space="preserve">“</w:t>
      </w:r>
      <w:r>
        <w:t xml:space="preserve">a little tinge of credibility</w:t>
      </w:r>
      <w:r>
        <w:t xml:space="preserve">”</w:t>
      </w:r>
      <w:r>
        <w:t xml:space="preserve"> </w:t>
      </w:r>
      <w:r>
        <w:t xml:space="preserve">to what he called</w:t>
      </w:r>
      <w:r>
        <w:t xml:space="preserve"> </w:t>
      </w:r>
      <w:r>
        <w:t xml:space="preserve">“</w:t>
      </w:r>
      <w:r>
        <w:t xml:space="preserve">fundamentally an anti-democratic movement</w:t>
      </w:r>
      <w:r>
        <w:t xml:space="preserve">”</w:t>
      </w:r>
      <w:r>
        <w:t xml:space="preserve"> </w:t>
      </w:r>
      <w:r>
        <w:t xml:space="preserve">on the far right. He said the program had been billed as balanced but was in fact</w:t>
      </w:r>
      <w:r>
        <w:t xml:space="preserve"> </w:t>
      </w:r>
      <w:r>
        <w:t xml:space="preserve">“</w:t>
      </w:r>
      <w:r>
        <w:t xml:space="preserve">a workshop to promote a constitutional convention,</w:t>
      </w:r>
      <w:r>
        <w:t xml:space="preserve">”</w:t>
      </w:r>
      <w:r>
        <w:t xml:space="preserve"> </w:t>
      </w:r>
      <w:r>
        <w:t xml:space="preserve">and noted that nearly twenty-four hours had passed before opponents spoke.</w:t>
      </w:r>
    </w:p>
    <w:p>
      <w:pPr>
        <w:pStyle w:val="BodyText"/>
      </w:pPr>
      <w:r>
        <w:t xml:space="preserve">He pointed to the Convention of States’ simulated conventions in Virginia. He quoted Farris, at one of them, saying that because less than one percent of Americans participate in state legislative matters,</w:t>
      </w:r>
      <w:r>
        <w:t xml:space="preserve"> </w:t>
      </w:r>
      <w:r>
        <w:t xml:space="preserve">“</w:t>
      </w:r>
      <w:r>
        <w:t xml:space="preserve">with 1% of the American public, that’s 3 million people. I guarantee you, we can get this done.</w:t>
      </w:r>
      <w:r>
        <w:t xml:space="preserve">”</w:t>
      </w:r>
      <w:r>
        <w:t xml:space="preserve"> </w:t>
      </w:r>
      <w:r>
        <w:t xml:space="preserve">He quoted former Senator Rick Santorum, whom the organization has employed, saying that with these resources</w:t>
      </w:r>
      <w:r>
        <w:t xml:space="preserve"> </w:t>
      </w:r>
      <w:r>
        <w:t xml:space="preserve">“</w:t>
      </w:r>
      <w:r>
        <w:t xml:space="preserve">the safety is off, and we have a live weapon in our hands.</w:t>
      </w:r>
      <w:r>
        <w:t xml:space="preserve">”</w:t>
      </w:r>
      <w:r>
        <w:t xml:space="preserve"> </w:t>
      </w:r>
      <w:r>
        <w:t xml:space="preserve">Neither, he said,</w:t>
      </w:r>
      <w:r>
        <w:t xml:space="preserve"> </w:t>
      </w:r>
      <w:r>
        <w:t xml:space="preserve">“</w:t>
      </w:r>
      <w:r>
        <w:t xml:space="preserve">sounds like Philadelphia in 1787</w:t>
      </w:r>
      <w:r>
        <w:t xml:space="preserve">”</w:t>
      </w:r>
      <w:r>
        <w:t xml:space="preserve"> </w:t>
      </w:r>
      <w:r>
        <w:t xml:space="preserve">or like popular deliberation.</w:t>
      </w:r>
    </w:p>
    <w:p>
      <w:pPr>
        <w:pStyle w:val="BodyText"/>
      </w:pPr>
      <w:r>
        <w:t xml:space="preserve">He argued that the convention clause was an afterthought. The Virginia Plan would have let only the states call a convention. Hamilton later persuaded the delegates to give Congress the role, and Mason forced the state route back in at the last minute, with, as Madison noted, no rules on matters such as a quorum. That does not make it illegitimate, but it was not a carefully designed mechanism.</w:t>
      </w:r>
    </w:p>
    <w:p>
      <w:pPr>
        <w:pStyle w:val="BodyText"/>
      </w:pPr>
      <w:r>
        <w:t xml:space="preserve">He said a runaway</w:t>
      </w:r>
      <w:r>
        <w:t xml:space="preserve"> </w:t>
      </w:r>
      <w:r>
        <w:t xml:space="preserve">“</w:t>
      </w:r>
      <w:r>
        <w:t xml:space="preserve">easily could be</w:t>
      </w:r>
      <w:r>
        <w:t xml:space="preserve">”</w:t>
      </w:r>
      <w:r>
        <w:t xml:space="preserve"> </w:t>
      </w:r>
      <w:r>
        <w:t xml:space="preserve">a problem, given how state legislatures treat voting rights. Beyond that, the simulations gave each state one vote, so delegates chosen by malapportioned legislatures would decide by a majority of states. The most celebrated proposal at one simulation, he said, was what he called</w:t>
      </w:r>
      <w:r>
        <w:t xml:space="preserve"> </w:t>
      </w:r>
      <w:r>
        <w:t xml:space="preserve">“</w:t>
      </w:r>
      <w:r>
        <w:t xml:space="preserve">the John C. Calhoun Amendment,</w:t>
      </w:r>
      <w:r>
        <w:t xml:space="preserve">”</w:t>
      </w:r>
      <w:r>
        <w:t xml:space="preserve"> </w:t>
      </w:r>
      <w:r>
        <w:t xml:space="preserve">allowing a majority of state legislatures to override acts of Congress. A convention could also leave the country with competing claims about what the Constitution says, destroying the one thing Americans still share: an agreed text.</w:t>
      </w:r>
    </w:p>
    <w:p>
      <w:pPr>
        <w:pStyle w:val="BodyText"/>
      </w:pPr>
      <w:r>
        <w:t xml:space="preserve">His alternative is to amend Article V itself, an idea he traced to Wisconsin’s Robert La Follette, to require popularly elected delegates and popular votes. He disputed Lessig’s published view that this is impossible with the current Congress: citizens’ assemblies and voters can demand it as a condition of support. And he offered</w:t>
      </w:r>
      <w:r>
        <w:t xml:space="preserve"> </w:t>
      </w:r>
      <w:r>
        <w:t xml:space="preserve">“</w:t>
      </w:r>
      <w:r>
        <w:t xml:space="preserve">one slightly conciliatory thing.</w:t>
      </w:r>
      <w:r>
        <w:t xml:space="preserve">”</w:t>
      </w:r>
      <w:r>
        <w:t xml:space="preserve"> </w:t>
      </w:r>
      <w:r>
        <w:t xml:space="preserve">The Seventeenth Amendment shows the convention threat can work: senators voted to change how they are chosen when states neared the threshold. He added that Sununu, at lunch, had</w:t>
      </w:r>
      <w:r>
        <w:t xml:space="preserve"> </w:t>
      </w:r>
      <w:r>
        <w:t xml:space="preserve">“</w:t>
      </w:r>
      <w:r>
        <w:t xml:space="preserve">just endorsed getting rid of the direct election of senators.</w:t>
      </w:r>
      <w:r>
        <w:t xml:space="preserve">”</w:t>
      </w:r>
    </w:p>
    <w:bookmarkEnd w:id="26"/>
    <w:bookmarkStart w:id="28" w:name="viki-harrison"/>
    <w:p>
      <w:pPr>
        <w:pStyle w:val="Heading2"/>
      </w:pPr>
      <w:r>
        <w:t xml:space="preserve">Viki Harrison</w:t>
      </w:r>
    </w:p>
    <w:p>
      <w:pPr>
        <w:pStyle w:val="FirstParagraph"/>
      </w:pPr>
      <w:r>
        <w:t xml:space="preserve">Harrison described herself as the only non-lawyer and non-academic on the panel. She began working on Article V at Common Cause in New Mexico in 2012, where her coalition passed a resolution asking Congress to overturn</w:t>
      </w:r>
      <w:r>
        <w:t xml:space="preserve"> </w:t>
      </w:r>
      <w:r>
        <w:rPr>
          <w:iCs/>
          <w:i/>
        </w:rPr>
        <w:t xml:space="preserve">Citizens United</w:t>
      </w:r>
      <w:r>
        <w:t xml:space="preserve">. More than 400 cities, counties, and states have since done the same. She noted a recent Supreme Court decision freeing political parties to coordinate spending with candidates.</w:t>
      </w:r>
      <w:r>
        <w:rPr>
          <w:rStyle w:val="FootnoteReference"/>
        </w:rPr>
        <w:footnoteReference w:id="27"/>
      </w:r>
    </w:p>
    <w:p>
      <w:pPr>
        <w:pStyle w:val="BodyText"/>
      </w:pPr>
      <w:r>
        <w:t xml:space="preserve">Her objection to a convention, she said, was never mainly the runaway.</w:t>
      </w:r>
      <w:r>
        <w:t xml:space="preserve"> </w:t>
      </w:r>
      <w:r>
        <w:t xml:space="preserve">“</w:t>
      </w:r>
      <w:r>
        <w:t xml:space="preserve">There were no rules.</w:t>
      </w:r>
      <w:r>
        <w:t xml:space="preserve">”</w:t>
      </w:r>
      <w:r>
        <w:t xml:space="preserve"> </w:t>
      </w:r>
      <w:r>
        <w:t xml:space="preserve">Who are the delegates? What is the role of courts, or of Congress once the convention is called?</w:t>
      </w:r>
      <w:r>
        <w:t xml:space="preserve"> </w:t>
      </w:r>
      <w:r>
        <w:t xml:space="preserve">“</w:t>
      </w:r>
      <w:r>
        <w:t xml:space="preserve">Do I really think that states are going to send a school teacher and a librarian?</w:t>
      </w:r>
      <w:r>
        <w:t xml:space="preserve">”</w:t>
      </w:r>
      <w:r>
        <w:t xml:space="preserve"> </w:t>
      </w:r>
      <w:r>
        <w:t xml:space="preserve">She expects legislatures to send their biggest donors or themselves. She noted that in 2013 the Tea Party and Occupy movements wanted the same things: transparency, access, and less money in politics.</w:t>
      </w:r>
    </w:p>
    <w:p>
      <w:pPr>
        <w:pStyle w:val="BodyText"/>
      </w:pPr>
      <w:r>
        <w:t xml:space="preserve">She objected to the tone of the conference. Opponents had been called fearmongers more than ten times, and also</w:t>
      </w:r>
      <w:r>
        <w:t xml:space="preserve"> </w:t>
      </w:r>
      <w:r>
        <w:t xml:space="preserve">“</w:t>
      </w:r>
      <w:r>
        <w:t xml:space="preserve">scaremongers,</w:t>
      </w:r>
      <w:r>
        <w:t xml:space="preserve">”</w:t>
      </w:r>
      <w:r>
        <w:t xml:space="preserve"> </w:t>
      </w:r>
      <w:r>
        <w:t xml:space="preserve">“</w:t>
      </w:r>
      <w:r>
        <w:t xml:space="preserve">hopeless,</w:t>
      </w:r>
      <w:r>
        <w:t xml:space="preserve">”</w:t>
      </w:r>
      <w:r>
        <w:t xml:space="preserve"> </w:t>
      </w:r>
      <w:r>
        <w:t xml:space="preserve">“</w:t>
      </w:r>
      <w:r>
        <w:t xml:space="preserve">pessimist,</w:t>
      </w:r>
      <w:r>
        <w:t xml:space="preserve">”</w:t>
      </w:r>
      <w:r>
        <w:t xml:space="preserve"> </w:t>
      </w:r>
      <w:r>
        <w:t xml:space="preserve">“</w:t>
      </w:r>
      <w:r>
        <w:t xml:space="preserve">frozen in place,</w:t>
      </w:r>
      <w:r>
        <w:t xml:space="preserve">”</w:t>
      </w:r>
      <w:r>
        <w:t xml:space="preserve"> </w:t>
      </w:r>
      <w:r>
        <w:t xml:space="preserve">and</w:t>
      </w:r>
      <w:r>
        <w:t xml:space="preserve"> </w:t>
      </w:r>
      <w:r>
        <w:t xml:space="preserve">“</w:t>
      </w:r>
      <w:r>
        <w:t xml:space="preserve">absurd.</w:t>
      </w:r>
      <w:r>
        <w:t xml:space="preserve">”</w:t>
      </w:r>
      <w:r>
        <w:t xml:space="preserve"> </w:t>
      </w:r>
      <w:r>
        <w:t xml:space="preserve">“</w:t>
      </w:r>
      <w:r>
        <w:t xml:space="preserve">That sounds like demonizing somebody who disagrees with you.</w:t>
      </w:r>
      <w:r>
        <w:t xml:space="preserve">”</w:t>
      </w:r>
      <w:r>
        <w:t xml:space="preserve"> </w:t>
      </w:r>
      <w:r>
        <w:t xml:space="preserve">She said Common Cause does not fear Americans and supports citizens’ assemblies for uses such as participatory budgeting. The amendment process has stalled, she argued, because of gerrymandering and restrictive voting laws, and the proponents would place the same legislatures in charge of a convention. She reported 139 Article V bills in 38 states this year, including faithful delegate bills and rescissions.</w:t>
      </w:r>
    </w:p>
    <w:p>
      <w:pPr>
        <w:pStyle w:val="BodyText"/>
      </w:pPr>
      <w:r>
        <w:t xml:space="preserve">Finally, she pointed to the counting dispute from the morning. If the claim to have reached 34 depends on counting plenary applications, then the applications are not all on</w:t>
      </w:r>
      <w:r>
        <w:t xml:space="preserve"> </w:t>
      </w:r>
      <w:r>
        <w:t xml:space="preserve">“</w:t>
      </w:r>
      <w:r>
        <w:t xml:space="preserve">the same thing,</w:t>
      </w:r>
      <w:r>
        <w:t xml:space="preserve">”</w:t>
      </w:r>
      <w:r>
        <w:t xml:space="preserve"> </w:t>
      </w:r>
      <w:r>
        <w:t xml:space="preserve">which undercuts the claim that applications define the convention’s subject.</w:t>
      </w:r>
    </w:p>
    <w:bookmarkEnd w:id="28"/>
    <w:bookmarkStart w:id="30" w:name="david-super"/>
    <w:p>
      <w:pPr>
        <w:pStyle w:val="Heading2"/>
      </w:pPr>
      <w:r>
        <w:t xml:space="preserve">David Super</w:t>
      </w:r>
    </w:p>
    <w:p>
      <w:pPr>
        <w:pStyle w:val="FirstParagraph"/>
      </w:pPr>
      <w:r>
        <w:t xml:space="preserve">Super began with a frame. Positive political change requires someone with power to make it and persuasion to make them use it. The problem today is not a lack of power: the Supreme Court could overrule</w:t>
      </w:r>
      <w:r>
        <w:t xml:space="preserve"> </w:t>
      </w:r>
      <w:r>
        <w:rPr>
          <w:iCs/>
          <w:i/>
        </w:rPr>
        <w:t xml:space="preserve">Citizens United</w:t>
      </w:r>
      <w:r>
        <w:t xml:space="preserve">, Congress could pass reforms, and two-thirds of Congress could propose any amendment a convention could. The problem is persuasion. A convention is therefore</w:t>
      </w:r>
      <w:r>
        <w:t xml:space="preserve"> </w:t>
      </w:r>
      <w:r>
        <w:t xml:space="preserve">“</w:t>
      </w:r>
      <w:r>
        <w:t xml:space="preserve">forum shopping,</w:t>
      </w:r>
      <w:r>
        <w:t xml:space="preserve">”</w:t>
      </w:r>
      <w:r>
        <w:t xml:space="preserve"> </w:t>
      </w:r>
      <w:r>
        <w:t xml:space="preserve">an attempt to move power to a body proponents hope will be easier to persuade. That is legitimate, but the new forum must actually be better.</w:t>
      </w:r>
    </w:p>
    <w:p>
      <w:pPr>
        <w:pStyle w:val="BodyText"/>
      </w:pPr>
      <w:r>
        <w:t xml:space="preserve">He argued it would be worse. Many people imagine thoughtful, open-minded delegates. In fact, 22 states have laws on delegate selection, most giving the choice to the legislature alone and a few to the legislature with the governor. Only Rhode Island provides for popular election. Elsewhere legislatures would choose, and</w:t>
      </w:r>
      <w:r>
        <w:t xml:space="preserve"> </w:t>
      </w:r>
      <w:r>
        <w:t xml:space="preserve">“</w:t>
      </w:r>
      <w:r>
        <w:t xml:space="preserve">when state legislators go searching for the wisest people in the state… they rarely get beyond the nearest mirror.</w:t>
      </w:r>
      <w:r>
        <w:t xml:space="preserve">”</w:t>
      </w:r>
      <w:r>
        <w:t xml:space="preserve"> </w:t>
      </w:r>
      <w:r>
        <w:t xml:space="preserve">Service would be a historic honor, a springboard to higher office, and a fundraising opportunity, and existing disclosure laws do not cover delegates.</w:t>
      </w:r>
    </w:p>
    <w:p>
      <w:pPr>
        <w:pStyle w:val="BodyText"/>
      </w:pPr>
      <w:r>
        <w:t xml:space="preserve">Citing a Center for Media and Democracy analysis, he said Republicans would control 28 delegations, Democrats 18, and four would be split.</w:t>
      </w:r>
      <w:r>
        <w:rPr>
          <w:rStyle w:val="FootnoteReference"/>
        </w:rPr>
        <w:footnoteReference w:id="29"/>
      </w:r>
      <w:r>
        <w:t xml:space="preserve"> </w:t>
      </w:r>
      <w:r>
        <w:t xml:space="preserve">Even a Democratic gain of five percent of seats nationally would leave Republicans with a majority of delegations, so they would have</w:t>
      </w:r>
      <w:r>
        <w:t xml:space="preserve"> </w:t>
      </w:r>
      <w:r>
        <w:t xml:space="preserve">“</w:t>
      </w:r>
      <w:r>
        <w:t xml:space="preserve">no need to compromise or cut deals.</w:t>
      </w:r>
      <w:r>
        <w:t xml:space="preserve">”</w:t>
      </w:r>
      <w:r>
        <w:t xml:space="preserve"> </w:t>
      </w:r>
      <w:r>
        <w:t xml:space="preserve">He tied the pro-convention groups to the American Legislative Exchange Council and its funders. He said the Convention of States’ 2023 simulated convention in Virginia proposed amendments that would invalidate most civil rights and environmental laws, require sale of federal lands, require supermajorities to raise taxes, and cap the Supreme Court at nine justices. The last of these, he noted, falls outside the organization’s own three subjects:</w:t>
      </w:r>
      <w:r>
        <w:t xml:space="preserve"> </w:t>
      </w:r>
      <w:r>
        <w:t xml:space="preserve">“</w:t>
      </w:r>
      <w:r>
        <w:t xml:space="preserve">even in their model, they had a runaway.</w:t>
      </w:r>
      <w:r>
        <w:t xml:space="preserve">”</w:t>
      </w:r>
    </w:p>
    <w:p>
      <w:pPr>
        <w:pStyle w:val="BodyText"/>
      </w:pPr>
      <w:r>
        <w:t xml:space="preserve">He then addressed substance. A balanced budget amendment would prevent the federal government from fighting recessions and would force cuts at the worst moments, making unemployment insurance and SNAP unworkable because their costs rise in downturns. Once proposed, it would be hard to defeat in legislatures. Even if a convention proposed progressive amendments, ratification would require states such as Indiana, Kansas, Missouri, Montana, Nebraska, South Carolina, and Utah. For progressives it is</w:t>
      </w:r>
      <w:r>
        <w:t xml:space="preserve"> </w:t>
      </w:r>
      <w:r>
        <w:t xml:space="preserve">“</w:t>
      </w:r>
      <w:r>
        <w:t xml:space="preserve">a road to nowhere.</w:t>
      </w:r>
      <w:r>
        <w:t xml:space="preserve">”</w:t>
      </w:r>
    </w:p>
    <w:bookmarkEnd w:id="30"/>
    <w:bookmarkStart w:id="37" w:name="wilfred-codrington-iii"/>
    <w:p>
      <w:pPr>
        <w:pStyle w:val="Heading2"/>
      </w:pPr>
      <w:r>
        <w:t xml:space="preserve">Wilfred Codrington III</w:t>
      </w:r>
    </w:p>
    <w:p>
      <w:pPr>
        <w:pStyle w:val="FirstParagraph"/>
      </w:pPr>
      <w:r>
        <w:t xml:space="preserve">Codrington said he opposes a convention for many reasons, including the substance of the leading proposals, the dark money behind them, and the risk of a runaway. But his main fear is</w:t>
      </w:r>
      <w:r>
        <w:t xml:space="preserve"> </w:t>
      </w:r>
      <w:r>
        <w:t xml:space="preserve">“</w:t>
      </w:r>
      <w:r>
        <w:t xml:space="preserve">this age of judicial supremacy.</w:t>
      </w:r>
      <w:r>
        <w:t xml:space="preserve">”</w:t>
      </w:r>
    </w:p>
    <w:p>
      <w:pPr>
        <w:pStyle w:val="BodyText"/>
      </w:pPr>
      <w:r>
        <w:t xml:space="preserve">In 1787 there was no Supreme Court and no culture of judicial supremacy; had there been, the Constitution might have been</w:t>
      </w:r>
      <w:r>
        <w:t xml:space="preserve"> </w:t>
      </w:r>
      <w:r>
        <w:t xml:space="preserve">“</w:t>
      </w:r>
      <w:r>
        <w:t xml:space="preserve">declared unconstitutional</w:t>
      </w:r>
      <w:r>
        <w:t xml:space="preserve">”</w:t>
      </w:r>
      <w:r>
        <w:t xml:space="preserve"> </w:t>
      </w:r>
      <w:r>
        <w:t xml:space="preserve">for ignoring the Articles’ unanimity rule. Judicial supremacy, he argued, dates to</w:t>
      </w:r>
      <w:r>
        <w:t xml:space="preserve"> </w:t>
      </w:r>
      <w:r>
        <w:rPr>
          <w:iCs/>
          <w:i/>
        </w:rPr>
        <w:t xml:space="preserve">Cooper v. Aaron</w:t>
      </w:r>
      <w:r>
        <w:t xml:space="preserve">, where the Court declared its interpretation of the Constitution the supreme law of the land.</w:t>
      </w:r>
      <w:r>
        <w:rPr>
          <w:rStyle w:val="FootnoteReference"/>
        </w:rPr>
        <w:footnoteReference w:id="31"/>
      </w:r>
      <w:r>
        <w:t xml:space="preserve"> </w:t>
      </w:r>
      <w:r>
        <w:rPr>
          <w:iCs/>
          <w:i/>
        </w:rPr>
        <w:t xml:space="preserve">Baker v. Carr</w:t>
      </w:r>
      <w:r>
        <w:t xml:space="preserve"> </w:t>
      </w:r>
      <w:r>
        <w:t xml:space="preserve">then set out the political question doctrine, which marks issues the Constitution commits to other branches or for which courts lack manageable standards.</w:t>
      </w:r>
      <w:r>
        <w:rPr>
          <w:rStyle w:val="FootnoteReference"/>
        </w:rPr>
        <w:footnoteReference w:id="32"/>
      </w:r>
      <w:r>
        <w:t xml:space="preserve"> </w:t>
      </w:r>
      <w:r>
        <w:t xml:space="preserve">Article V mentions Congress, state legislatures, and conventions, but not courts, and amendment is</w:t>
      </w:r>
      <w:r>
        <w:t xml:space="preserve"> </w:t>
      </w:r>
      <w:r>
        <w:t xml:space="preserve">“</w:t>
      </w:r>
      <w:r>
        <w:t xml:space="preserve">fundamentally a political act.</w:t>
      </w:r>
      <w:r>
        <w:t xml:space="preserve">”</w:t>
      </w:r>
      <w:r>
        <w:t xml:space="preserve"> </w:t>
      </w:r>
      <w:r>
        <w:t xml:space="preserve">He cited Bruce Ackerman on constitutional politics, Walter Dellinger’s view that courts may not review the substance of amendments, Richard Albert’s observation that Article V is</w:t>
      </w:r>
      <w:r>
        <w:t xml:space="preserve"> </w:t>
      </w:r>
      <w:r>
        <w:t xml:space="preserve">“</w:t>
      </w:r>
      <w:r>
        <w:t xml:space="preserve">amoral</w:t>
      </w:r>
      <w:r>
        <w:t xml:space="preserve">”</w:t>
      </w:r>
      <w:r>
        <w:t xml:space="preserve"> </w:t>
      </w:r>
      <w:r>
        <w:t xml:space="preserve">about content, and Laurence Tribe’s view that courts should defer on procedure as well.</w:t>
      </w:r>
      <w:r>
        <w:rPr>
          <w:rStyle w:val="FootnoteReference"/>
        </w:rPr>
        <w:footnoteReference w:id="33"/>
      </w:r>
    </w:p>
    <w:p>
      <w:pPr>
        <w:pStyle w:val="BodyText"/>
      </w:pPr>
      <w:r>
        <w:t xml:space="preserve">The case law once agreed.</w:t>
      </w:r>
      <w:r>
        <w:t xml:space="preserve"> </w:t>
      </w:r>
      <w:r>
        <w:rPr>
          <w:iCs/>
          <w:i/>
        </w:rPr>
        <w:t xml:space="preserve">Leser v. Garnett</w:t>
      </w:r>
      <w:r>
        <w:t xml:space="preserve"> </w:t>
      </w:r>
      <w:r>
        <w:t xml:space="preserve">treated a state’s certified ratification as conclusive.</w:t>
      </w:r>
      <w:r>
        <w:rPr>
          <w:rStyle w:val="FootnoteReference"/>
        </w:rPr>
        <w:footnoteReference w:id="34"/>
      </w:r>
      <w:r>
        <w:t xml:space="preserve"> </w:t>
      </w:r>
      <w:r>
        <w:t xml:space="preserve">In</w:t>
      </w:r>
      <w:r>
        <w:t xml:space="preserve"> </w:t>
      </w:r>
      <w:r>
        <w:rPr>
          <w:iCs/>
          <w:i/>
        </w:rPr>
        <w:t xml:space="preserve">Coleman v. Miller</w:t>
      </w:r>
      <w:r>
        <w:t xml:space="preserve">, four Justices called the amendment process</w:t>
      </w:r>
      <w:r>
        <w:t xml:space="preserve"> </w:t>
      </w:r>
      <w:r>
        <w:t xml:space="preserve">“</w:t>
      </w:r>
      <w:r>
        <w:t xml:space="preserve">political in its entirety</w:t>
      </w:r>
      <w:r>
        <w:t xml:space="preserve">”</w:t>
      </w:r>
      <w:r>
        <w:t xml:space="preserve"> </w:t>
      </w:r>
      <w:r>
        <w:t xml:space="preserve">and not subject to</w:t>
      </w:r>
      <w:r>
        <w:t xml:space="preserve"> </w:t>
      </w:r>
      <w:r>
        <w:t xml:space="preserve">“</w:t>
      </w:r>
      <w:r>
        <w:t xml:space="preserve">judicial guidance, control or interference.</w:t>
      </w:r>
      <w:r>
        <w:t xml:space="preserve">”</w:t>
      </w:r>
      <w:r>
        <w:rPr>
          <w:rStyle w:val="FootnoteReference"/>
        </w:rPr>
        <w:footnoteReference w:id="35"/>
      </w:r>
      <w:r>
        <w:t xml:space="preserve"> </w:t>
      </w:r>
      <w:r>
        <w:t xml:space="preserve">But the current Court, he argued, is opportunistic: it decided a presidential election in 2000, recognized</w:t>
      </w:r>
      <w:r>
        <w:t xml:space="preserve"> </w:t>
      </w:r>
      <w:r>
        <w:t xml:space="preserve">“</w:t>
      </w:r>
      <w:r>
        <w:t xml:space="preserve">near blanket immunity</w:t>
      </w:r>
      <w:r>
        <w:t xml:space="preserve">”</w:t>
      </w:r>
      <w:r>
        <w:t xml:space="preserve"> </w:t>
      </w:r>
      <w:r>
        <w:t xml:space="preserve">for a president in 2024, and has disregarded the enforcement clauses of the Reconstruction Amendments.</w:t>
      </w:r>
      <w:r>
        <w:rPr>
          <w:rStyle w:val="FootnoteReference"/>
        </w:rPr>
        <w:footnoteReference w:id="36"/>
      </w:r>
      <w:r>
        <w:t xml:space="preserve"> </w:t>
      </w:r>
      <w:r>
        <w:t xml:space="preserve">A convention would raise many unanswered questions: how similar applications must be, whether they expire, how delegates are chosen, how votes are allocated, what the quorum is.</w:t>
      </w:r>
      <w:r>
        <w:t xml:space="preserve"> </w:t>
      </w:r>
      <w:r>
        <w:t xml:space="preserve">“</w:t>
      </w:r>
      <w:r>
        <w:t xml:space="preserve">Who decides</w:t>
      </w:r>
      <w:r>
        <w:t xml:space="preserve">”</w:t>
      </w:r>
      <w:r>
        <w:t xml:space="preserve"> </w:t>
      </w:r>
      <w:r>
        <w:t xml:space="preserve">worries him most, and he could not imagine this Court passing up the chance to shape the outcome.</w:t>
      </w:r>
    </w:p>
    <w:bookmarkEnd w:id="37"/>
    <w:bookmarkEnd w:id="38"/>
    <w:bookmarkStart w:id="39" w:name="discussion"/>
    <w:p>
      <w:pPr>
        <w:pStyle w:val="Heading1"/>
      </w:pPr>
      <w:r>
        <w:t xml:space="preserve">Discussion</w:t>
      </w:r>
    </w:p>
    <w:p>
      <w:pPr>
        <w:pStyle w:val="FirstParagraph"/>
      </w:pPr>
      <w:r>
        <w:rPr>
          <w:bCs/>
          <w:b/>
        </w:rPr>
        <w:t xml:space="preserve">Polarization.</w:t>
      </w:r>
      <w:r>
        <w:t xml:space="preserve"> </w:t>
      </w:r>
      <w:r>
        <w:t xml:space="preserve">Sachs asked why a polarized country should expect a convention to produce broad agreement. Feingold pointed to malapportionment between rural and urban states, the consolidation of local news, and social media. Harrison described the loss of bipartisan cosponsors on reform bills in New Mexico and her own street conversations in New York, where people she spoke with did not want</w:t>
      </w:r>
      <w:r>
        <w:t xml:space="preserve"> </w:t>
      </w:r>
      <w:r>
        <w:t xml:space="preserve">“</w:t>
      </w:r>
      <w:r>
        <w:t xml:space="preserve">these clowns</w:t>
      </w:r>
      <w:r>
        <w:t xml:space="preserve">”</w:t>
      </w:r>
      <w:r>
        <w:t xml:space="preserve"> </w:t>
      </w:r>
      <w:r>
        <w:t xml:space="preserve">to rewrite the Constitution. She said trust has collapsed to friends and family. Super said the order matters: build a social movement that talks across lines first, and once it has broad support, Congress will follow. Codrington said gerrymandered legislatures, especially in the South, where there is no direct democracy, are easier to manipulate than Congress, which is why the convention is an</w:t>
      </w:r>
      <w:r>
        <w:t xml:space="preserve"> </w:t>
      </w:r>
      <w:r>
        <w:t xml:space="preserve">“</w:t>
      </w:r>
      <w:r>
        <w:t xml:space="preserve">end run</w:t>
      </w:r>
      <w:r>
        <w:t xml:space="preserve">”</w:t>
      </w:r>
      <w:r>
        <w:t xml:space="preserve"> </w:t>
      </w:r>
      <w:r>
        <w:t xml:space="preserve">around the hard work of persuasion.</w:t>
      </w:r>
    </w:p>
    <w:p>
      <w:pPr>
        <w:pStyle w:val="BodyText"/>
      </w:pPr>
      <w:r>
        <w:rPr>
          <w:bCs/>
          <w:b/>
        </w:rPr>
        <w:t xml:space="preserve">Who resolves disputes.</w:t>
      </w:r>
      <w:r>
        <w:t xml:space="preserve"> </w:t>
      </w:r>
      <w:r>
        <w:t xml:space="preserve">Sachs observed that the Philadelphia delegates could act</w:t>
      </w:r>
      <w:r>
        <w:t xml:space="preserve"> </w:t>
      </w:r>
      <w:r>
        <w:t xml:space="preserve">“</w:t>
      </w:r>
      <w:r>
        <w:t xml:space="preserve">out of doors,</w:t>
      </w:r>
      <w:r>
        <w:t xml:space="preserve">”</w:t>
      </w:r>
      <w:r>
        <w:t xml:space="preserve"> </w:t>
      </w:r>
      <w:r>
        <w:t xml:space="preserve">while a modern convention would face the Court, Congress, and a president who might belong to a different party by the time it finished. Feingold predicted</w:t>
      </w:r>
      <w:r>
        <w:t xml:space="preserve"> </w:t>
      </w:r>
      <w:r>
        <w:t xml:space="preserve">“</w:t>
      </w:r>
      <w:r>
        <w:t xml:space="preserve">a constitutional crisis.</w:t>
      </w:r>
      <w:r>
        <w:t xml:space="preserve">”</w:t>
      </w:r>
      <w:r>
        <w:t xml:space="preserve"> </w:t>
      </w:r>
      <w:r>
        <w:t xml:space="preserve">If Congress simply declared that enough applications existed, as Arrington’s resolution proposes, he thought the Court would call it a political question and no one would stop it. Harrison said faithful delegate laws give her no comfort:</w:t>
      </w:r>
      <w:r>
        <w:t xml:space="preserve"> </w:t>
      </w:r>
      <w:r>
        <w:t xml:space="preserve">“</w:t>
      </w:r>
      <w:r>
        <w:t xml:space="preserve">who cares if Joe Blow from Nebraska goes to jail? He’s already rewritten the Constitution at that point.</w:t>
      </w:r>
      <w:r>
        <w:t xml:space="preserve">”</w:t>
      </w:r>
      <w:r>
        <w:t xml:space="preserve"> </w:t>
      </w:r>
      <w:r>
        <w:t xml:space="preserve">Super said the country is already</w:t>
      </w:r>
      <w:r>
        <w:t xml:space="preserve"> </w:t>
      </w:r>
      <w:r>
        <w:t xml:space="preserve">“</w:t>
      </w:r>
      <w:r>
        <w:t xml:space="preserve">very much outdoors,</w:t>
      </w:r>
      <w:r>
        <w:t xml:space="preserve">”</w:t>
      </w:r>
      <w:r>
        <w:t xml:space="preserve"> </w:t>
      </w:r>
      <w:r>
        <w:t xml:space="preserve">because partisan loyalty overrides institutional loyalty. He noted that Arrington’s resolution provides for ratification by</w:t>
      </w:r>
      <w:r>
        <w:t xml:space="preserve"> </w:t>
      </w:r>
      <w:r>
        <w:t xml:space="preserve">“</w:t>
      </w:r>
      <w:r>
        <w:t xml:space="preserve">a vote of We the People,</w:t>
      </w:r>
      <w:r>
        <w:t xml:space="preserve">”</w:t>
      </w:r>
      <w:r>
        <w:t xml:space="preserve"> </w:t>
      </w:r>
      <w:r>
        <w:t xml:space="preserve">which he read as changing the method of ratification to a referendum, open to manipulation by heavy spending. Codrington expected the Court to step in when it suited it and stand aside when it did not, with donors making the real decisions.</w:t>
      </w:r>
    </w:p>
    <w:p>
      <w:pPr>
        <w:pStyle w:val="BodyText"/>
      </w:pPr>
      <w:r>
        <w:rPr>
          <w:bCs/>
          <w:b/>
        </w:rPr>
        <w:t xml:space="preserve">One change to Article V.</w:t>
      </w:r>
      <w:r>
        <w:t xml:space="preserve"> </w:t>
      </w:r>
      <w:r>
        <w:t xml:space="preserve">In a lightning round, Feingold would require rules, delegates elected by the people of each state, and approval by popular vote in each ratifying state. Super would add provisions that actually limit a convention to one subject and require elected delegates. Codrington would lower the thresholds throughout Article V and add a popular initiative or referendum.</w:t>
      </w:r>
    </w:p>
    <w:bookmarkEnd w:id="39"/>
    <w:bookmarkStart w:id="40" w:name="questions-from-the-floor"/>
    <w:p>
      <w:pPr>
        <w:pStyle w:val="Heading1"/>
      </w:pPr>
      <w:r>
        <w:t xml:space="preserve">Questions from the floor</w:t>
      </w:r>
    </w:p>
    <w:p>
      <w:pPr>
        <w:pStyle w:val="FirstParagraph"/>
      </w:pPr>
      <w:r>
        <w:rPr>
          <w:bCs/>
          <w:b/>
        </w:rPr>
        <w:t xml:space="preserve">Tribal sovereignty.</w:t>
      </w:r>
      <w:r>
        <w:t xml:space="preserve"> </w:t>
      </w:r>
      <w:r>
        <w:t xml:space="preserve">A Native American questioner said that 36 states contain reservations and many would prefer they did not. A convention called by the states to limit federal power, he asked, could</w:t>
      </w:r>
      <w:r>
        <w:t xml:space="preserve"> </w:t>
      </w:r>
      <w:r>
        <w:t xml:space="preserve">“</w:t>
      </w:r>
      <w:r>
        <w:t xml:space="preserve">perfect conquest by amendment</w:t>
      </w:r>
      <w:r>
        <w:t xml:space="preserve">”</w:t>
      </w:r>
      <w:r>
        <w:t xml:space="preserve"> </w:t>
      </w:r>
      <w:r>
        <w:t xml:space="preserve">by writing tribal sovereignty out of the Constitution. What would prevent it? Codrington said he did not know and doubted proponents had thought about it, noting that past conventions shifting power to the states included secession and Redemption-era conventions.</w:t>
      </w:r>
    </w:p>
    <w:p>
      <w:pPr>
        <w:pStyle w:val="BodyText"/>
      </w:pPr>
      <w:r>
        <w:rPr>
          <w:bCs/>
          <w:b/>
        </w:rPr>
        <w:t xml:space="preserve">Sources and funding.</w:t>
      </w:r>
      <w:r>
        <w:t xml:space="preserve"> </w:t>
      </w:r>
      <w:r>
        <w:t xml:space="preserve">Fieldman, from the previous panel, repeated his claim that no peer-reviewed source argues a limited call can be exceeded, and asked Harrison to name Common Cause’s anonymous donors. Feingold cited Charles Black and recalled Senator Dirksen’s reply to Senator Proxmire, when asked what would happen if a convention took up other subjects:</w:t>
      </w:r>
      <w:r>
        <w:t xml:space="preserve"> </w:t>
      </w:r>
      <w:r>
        <w:t xml:space="preserve">“</w:t>
      </w:r>
      <w:r>
        <w:t xml:space="preserve">I don’t know. I don’t run the convention.</w:t>
      </w:r>
      <w:r>
        <w:t xml:space="preserve">”</w:t>
      </w:r>
      <w:r>
        <w:t xml:space="preserve"> </w:t>
      </w:r>
      <w:r>
        <w:t xml:space="preserve">Harrison said she does not know her organization’s funders, that Common Cause files its returns, that her budget for this work is small, and that WolfPAC’s five states had fallen to two after three rescissions. Sachs offered the old line about infant baptism, whose believer answers,</w:t>
      </w:r>
      <w:r>
        <w:t xml:space="preserve"> </w:t>
      </w:r>
      <w:r>
        <w:t xml:space="preserve">“</w:t>
      </w:r>
      <w:r>
        <w:t xml:space="preserve">hell yes, I’ve seen it done.</w:t>
      </w:r>
      <w:r>
        <w:t xml:space="preserve">”</w:t>
      </w:r>
      <w:r>
        <w:t xml:space="preserve"> </w:t>
      </w:r>
      <w:r>
        <w:t xml:space="preserve">If a convention runs away, he said, no peer-reviewed article will have prevented it.</w:t>
      </w:r>
    </w:p>
    <w:p>
      <w:pPr>
        <w:pStyle w:val="BodyText"/>
      </w:pPr>
      <w:r>
        <w:rPr>
          <w:bCs/>
          <w:b/>
        </w:rPr>
        <w:t xml:space="preserve">Counting.</w:t>
      </w:r>
      <w:r>
        <w:t xml:space="preserve"> </w:t>
      </w:r>
      <w:r>
        <w:t xml:space="preserve">Walker, from the audience, clarified that his group counts only single-subject fiscal applications and plenary applications with no topic, and that HCR 15’s</w:t>
      </w:r>
      <w:r>
        <w:t xml:space="preserve"> </w:t>
      </w:r>
      <w:r>
        <w:t xml:space="preserve">“</w:t>
      </w:r>
      <w:r>
        <w:t xml:space="preserve">vote of We the People</w:t>
      </w:r>
      <w:r>
        <w:t xml:space="preserve">”</w:t>
      </w:r>
      <w:r>
        <w:t xml:space="preserve"> </w:t>
      </w:r>
      <w:r>
        <w:t xml:space="preserve">refers to state ratifying conventions with pledged delegates, the method used for the Twenty-First Amendment. Super answered with the text of Oregon’s application, which concerns direct election of senators and is not plenary, and said that if such applications counted, the threshold would have been reached in 1911. Congress, he said, has always required applications on a single subject, and Oregon itself rescinded its balanced budget application.</w:t>
      </w:r>
    </w:p>
    <w:p>
      <w:pPr>
        <w:pStyle w:val="BodyText"/>
      </w:pPr>
      <w:r>
        <w:rPr>
          <w:bCs/>
          <w:b/>
        </w:rPr>
        <w:t xml:space="preserve">Who should amend?</w:t>
      </w:r>
      <w:r>
        <w:t xml:space="preserve"> </w:t>
      </w:r>
      <w:r>
        <w:t xml:space="preserve">Super said amendments should come only from broad consensus:</w:t>
      </w:r>
      <w:r>
        <w:t xml:space="preserve"> </w:t>
      </w:r>
      <w:r>
        <w:t xml:space="preserve">“</w:t>
      </w:r>
      <w:r>
        <w:t xml:space="preserve">That’s the whole point of higher law.</w:t>
      </w:r>
      <w:r>
        <w:t xml:space="preserve">”</w:t>
      </w:r>
      <w:r>
        <w:t xml:space="preserve"> </w:t>
      </w:r>
      <w:r>
        <w:t xml:space="preserve">Feingold said it is good to have two routes but that this one is</w:t>
      </w:r>
      <w:r>
        <w:t xml:space="preserve"> </w:t>
      </w:r>
      <w:r>
        <w:t xml:space="preserve">“</w:t>
      </w:r>
      <w:r>
        <w:t xml:space="preserve">manipulated and malapportioned.</w:t>
      </w:r>
      <w:r>
        <w:t xml:space="preserve">”</w:t>
      </w:r>
      <w:r>
        <w:t xml:space="preserve"> </w:t>
      </w:r>
      <w:r>
        <w:t xml:space="preserve">Codrington said the Supreme Court amends the Constitution all the time and is</w:t>
      </w:r>
      <w:r>
        <w:t xml:space="preserve"> </w:t>
      </w:r>
      <w:r>
        <w:t xml:space="preserve">“</w:t>
      </w:r>
      <w:r>
        <w:t xml:space="preserve">pretty much a sitting, standing commission, convention.</w:t>
      </w:r>
      <w:r>
        <w:t xml:space="preserve">”</w:t>
      </w:r>
    </w:p>
    <w:bookmarkEnd w:id="40"/>
    <w:bookmarkStart w:id="41" w:name="how-the-debate-stands-after-session-7"/>
    <w:p>
      <w:pPr>
        <w:pStyle w:val="Heading1"/>
      </w:pPr>
      <w:r>
        <w:t xml:space="preserve">How the debate stands after Session 7</w:t>
      </w:r>
    </w:p>
    <w:p>
      <w:pPr>
        <w:pStyle w:val="FirstParagraph"/>
      </w:pPr>
      <w:r>
        <w:t xml:space="preserve">This panel moved the center of the debate. Before it, the main question was whether a convention would stay on topic. After it, the main questions were who would sit in the convention, who would fund and influence them, how votes would be allocated, and who would settle disputes. The skeptics did not deny that subject limits are legally possible. They argued that the bodies applying those limits would be partisan.</w:t>
      </w:r>
    </w:p>
    <w:p>
      <w:pPr>
        <w:pStyle w:val="BodyText"/>
      </w:pPr>
      <w:r>
        <w:t xml:space="preserve">Several skeptics’ points went to the core of Lessig’s strategy. Super’s evidence that legislatures would choose delegates in nearly every state means that the citizens’-assembly approach requires those same legislatures to give up that power. Codrington’s argument about the Court challenges both sides of the morning’s reliance on courts: proponents need courts to enforce ratification rules and uphold binding laws, but</w:t>
      </w:r>
      <w:r>
        <w:t xml:space="preserve"> </w:t>
      </w:r>
      <w:r>
        <w:rPr>
          <w:iCs/>
          <w:i/>
        </w:rPr>
        <w:t xml:space="preserve">Coleman</w:t>
      </w:r>
      <w:r>
        <w:t xml:space="preserve">, the precedent usually cited for leaving Article V disputes to the political branches, suggests courts would stay out. Harrison’s point about faithful delegate laws is practical: penalties after the fact do not undo a proposal. And her point about counting exposed the tension noted after the previous panel.</w:t>
      </w:r>
    </w:p>
    <w:p>
      <w:pPr>
        <w:pStyle w:val="BodyText"/>
      </w:pPr>
      <w:r>
        <w:t xml:space="preserve">The skeptics’ own position has weaknesses that the proponents did not fully press. Super’s forum-shopping argument assumes Congress can be persuaded. The proponents’ central premise, from Mason onward, is that Congress will not propose amendments that limit its own power or its members’ tenure. Feingold’s</w:t>
      </w:r>
      <w:r>
        <w:t xml:space="preserve"> </w:t>
      </w:r>
      <w:r>
        <w:t xml:space="preserve">“</w:t>
      </w:r>
      <w:r>
        <w:t xml:space="preserve">conciliatory</w:t>
      </w:r>
      <w:r>
        <w:t xml:space="preserve">”</w:t>
      </w:r>
      <w:r>
        <w:t xml:space="preserve"> </w:t>
      </w:r>
      <w:r>
        <w:t xml:space="preserve">point concedes that the threat of a convention moved Congress on the Seventeenth Amendment, and the skeptics’ preferred path, a social movement that persuades Congress, has historically relied on that threat. Their preferred reform, amending Article V first, is one everyone at the conference praised and no organization is pursuing.</w:t>
      </w:r>
    </w:p>
    <w:p>
      <w:pPr>
        <w:pStyle w:val="BodyText"/>
      </w:pPr>
      <w:r>
        <w:t xml:space="preserve">On tone and balance, both complaints are fair to record. The program had one panel against a convention. Lessig responded in his closing remarks before the final panel that the conference also began with history, not advocacy. The vocabulary Harrison listed was used by speakers in the morning sessions.</w:t>
      </w:r>
    </w:p>
    <w:tbl>
      <w:tblPr>
        <w:tblStyle w:val="Table"/>
        <w:tblW w:type="pct" w:w="5000"/>
        <w:tblLook w:firstRow="1" w:lastRow="0" w:firstColumn="0" w:lastColumn="0" w:noHBand="0" w:noVBand="0" w:val="0020"/>
        <w:jc w:val="start"/>
      </w:tblPr>
      <w:tblGrid>
        <w:gridCol w:w="2112"/>
        <w:gridCol w:w="5808"/>
      </w:tblGrid>
      <w:tr>
        <w:trPr>
          <w:tblHeader w:val="true"/>
        </w:trPr>
        <w:tc>
          <w:tcPr/>
          <w:p>
            <w:pPr>
              <w:pStyle w:val="Compact"/>
              <w:jc w:val="left"/>
            </w:pPr>
            <w:r>
              <w:t xml:space="preserve">Question</w:t>
            </w:r>
          </w:p>
        </w:tc>
        <w:tc>
          <w:tcPr/>
          <w:p>
            <w:pPr>
              <w:pStyle w:val="Compact"/>
              <w:jc w:val="left"/>
            </w:pPr>
            <w:r>
              <w:t xml:space="preserve">Where it stands after Session 7</w:t>
            </w:r>
          </w:p>
        </w:tc>
      </w:tr>
      <w:tr>
        <w:tc>
          <w:tcPr/>
          <w:p>
            <w:pPr>
              <w:pStyle w:val="Compact"/>
              <w:jc w:val="left"/>
            </w:pPr>
            <w:r>
              <w:t xml:space="preserve">Is a convention a legitimate American tool?</w:t>
            </w:r>
          </w:p>
        </w:tc>
        <w:tc>
          <w:tcPr/>
          <w:p>
            <w:pPr>
              <w:pStyle w:val="Compact"/>
              <w:jc w:val="left"/>
            </w:pPr>
            <w:r>
              <w:t xml:space="preserve">Skeptics accepted its legitimacy and the need for amendments. They argued the route is now</w:t>
            </w:r>
            <w:r>
              <w:t xml:space="preserve"> </w:t>
            </w:r>
            <w:r>
              <w:t xml:space="preserve">“</w:t>
            </w:r>
            <w:r>
              <w:t xml:space="preserve">manipulated and malapportioned.</w:t>
            </w:r>
            <w:r>
              <w:t xml:space="preserve">”</w:t>
            </w:r>
          </w:p>
        </w:tc>
      </w:tr>
      <w:tr>
        <w:tc>
          <w:tcPr/>
          <w:p>
            <w:pPr>
              <w:pStyle w:val="Compact"/>
              <w:jc w:val="left"/>
            </w:pPr>
            <w:r>
              <w:t xml:space="preserve">Can a convention be held to its subject?</w:t>
            </w:r>
          </w:p>
        </w:tc>
        <w:tc>
          <w:tcPr/>
          <w:p>
            <w:pPr>
              <w:pStyle w:val="Compact"/>
              <w:jc w:val="left"/>
            </w:pPr>
            <w:r>
              <w:t xml:space="preserve">No longer the main dispute. Skeptics said limits depend on who enforces them. Super noted the 2023 simulation exceeded its own subjects. Harrison said faithful delegate penalties come too late.</w:t>
            </w:r>
          </w:p>
        </w:tc>
      </w:tr>
      <w:tr>
        <w:tc>
          <w:tcPr/>
          <w:p>
            <w:pPr>
              <w:pStyle w:val="Compact"/>
              <w:jc w:val="left"/>
            </w:pPr>
            <w:r>
              <w:t xml:space="preserve">When have 34 states applied?</w:t>
            </w:r>
          </w:p>
        </w:tc>
        <w:tc>
          <w:tcPr/>
          <w:p>
            <w:pPr>
              <w:pStyle w:val="Compact"/>
              <w:jc w:val="left"/>
            </w:pPr>
            <w:r>
              <w:t xml:space="preserve">Sharply contested. Super: counting old single-subject applications as plenary would mean the threshold was reached in 1911. Harrison: aggregation contradicts the claim that applications define scope.</w:t>
            </w:r>
          </w:p>
        </w:tc>
      </w:tr>
      <w:tr>
        <w:tc>
          <w:tcPr/>
          <w:p>
            <w:pPr>
              <w:pStyle w:val="Compact"/>
              <w:jc w:val="left"/>
            </w:pPr>
            <w:r>
              <w:t xml:space="preserve">Who would serve, and how would they be chosen?</w:t>
            </w:r>
          </w:p>
        </w:tc>
        <w:tc>
          <w:tcPr/>
          <w:p>
            <w:pPr>
              <w:pStyle w:val="Compact"/>
              <w:jc w:val="left"/>
            </w:pPr>
            <w:r>
              <w:t xml:space="preserve">Now central. In 22 states law gives the choice to legislatures; only Rhode Island elects delegates. Skeptics expect legislators and donors.</w:t>
            </w:r>
          </w:p>
        </w:tc>
      </w:tr>
      <w:tr>
        <w:tc>
          <w:tcPr/>
          <w:p>
            <w:pPr>
              <w:pStyle w:val="Compact"/>
              <w:jc w:val="left"/>
            </w:pPr>
            <w:r>
              <w:t xml:space="preserve">How should votes be allocated?</w:t>
            </w:r>
          </w:p>
        </w:tc>
        <w:tc>
          <w:tcPr/>
          <w:p>
            <w:pPr>
              <w:pStyle w:val="Compact"/>
              <w:jc w:val="left"/>
            </w:pPr>
            <w:r>
              <w:t xml:space="preserve">Now central. One state, one vote with malapportioned legislatures gives Republicans a majority of delegations by Super’s count.</w:t>
            </w:r>
          </w:p>
        </w:tc>
      </w:tr>
      <w:tr>
        <w:tc>
          <w:tcPr/>
          <w:p>
            <w:pPr>
              <w:pStyle w:val="Compact"/>
              <w:jc w:val="left"/>
            </w:pPr>
            <w:r>
              <w:t xml:space="preserve">Who decides disputes?</w:t>
            </w:r>
          </w:p>
        </w:tc>
        <w:tc>
          <w:tcPr/>
          <w:p>
            <w:pPr>
              <w:pStyle w:val="Compact"/>
              <w:jc w:val="left"/>
            </w:pPr>
            <w:r>
              <w:t xml:space="preserve">Now central. Codrington: an opportunistic Court is the greatest danger. Feingold: a constitutional crisis.</w:t>
            </w:r>
            <w:r>
              <w:t xml:space="preserve"> </w:t>
            </w:r>
            <w:r>
              <w:rPr>
                <w:iCs/>
                <w:i/>
              </w:rPr>
              <w:t xml:space="preserve">Coleman</w:t>
            </w:r>
            <w:r>
              <w:t xml:space="preserve"> </w:t>
            </w:r>
            <w:r>
              <w:t xml:space="preserve">suggests courts would abstain, which cuts against reliance on them.</w:t>
            </w:r>
          </w:p>
        </w:tc>
      </w:tr>
      <w:tr>
        <w:tc>
          <w:tcPr/>
          <w:p>
            <w:pPr>
              <w:pStyle w:val="Compact"/>
              <w:jc w:val="left"/>
            </w:pPr>
            <w:r>
              <w:t xml:space="preserve">Could money capture a convention?</w:t>
            </w:r>
          </w:p>
        </w:tc>
        <w:tc>
          <w:tcPr/>
          <w:p>
            <w:pPr>
              <w:pStyle w:val="Compact"/>
              <w:jc w:val="left"/>
            </w:pPr>
            <w:r>
              <w:t xml:space="preserve">Skeptics said yes, tying proponents to ALEC and noting that disclosure laws do not reach delegates.</w:t>
            </w:r>
          </w:p>
        </w:tc>
      </w:tr>
      <w:tr>
        <w:tc>
          <w:tcPr/>
          <w:p>
            <w:pPr>
              <w:pStyle w:val="Compact"/>
              <w:jc w:val="left"/>
            </w:pPr>
            <w:r>
              <w:t xml:space="preserve">Is ratification by 38 states a sufficient safeguard?</w:t>
            </w:r>
          </w:p>
        </w:tc>
        <w:tc>
          <w:tcPr/>
          <w:p>
            <w:pPr>
              <w:pStyle w:val="Compact"/>
              <w:jc w:val="left"/>
            </w:pPr>
            <w:r>
              <w:t xml:space="preserve">Skeptics said no: legislatures are gerrymandered, and a balanced budget amendment would be hard to defeat once proposed.</w:t>
            </w:r>
          </w:p>
        </w:tc>
      </w:tr>
      <w:tr>
        <w:tc>
          <w:tcPr/>
          <w:p>
            <w:pPr>
              <w:pStyle w:val="Compact"/>
              <w:jc w:val="left"/>
            </w:pPr>
            <w:r>
              <w:t xml:space="preserve">What about tribes and territories?</w:t>
            </w:r>
          </w:p>
        </w:tc>
        <w:tc>
          <w:tcPr/>
          <w:p>
            <w:pPr>
              <w:pStyle w:val="Compact"/>
              <w:jc w:val="left"/>
            </w:pPr>
            <w:r>
              <w:t xml:space="preserve">Raised from the floor. No proponent had addressed tribal sovereignty.</w:t>
            </w:r>
          </w:p>
        </w:tc>
      </w:tr>
      <w:tr>
        <w:tc>
          <w:tcPr/>
          <w:p>
            <w:pPr>
              <w:pStyle w:val="Compact"/>
              <w:jc w:val="left"/>
            </w:pPr>
            <w:r>
              <w:t xml:space="preserve">What is the alternative?</w:t>
            </w:r>
          </w:p>
        </w:tc>
        <w:tc>
          <w:tcPr/>
          <w:p>
            <w:pPr>
              <w:pStyle w:val="Compact"/>
              <w:jc w:val="left"/>
            </w:pPr>
            <w:r>
              <w:t xml:space="preserve">Build a social movement first and amend Article V to require elected delegates, real limits, and popular votes.</w:t>
            </w:r>
          </w:p>
        </w:tc>
      </w:tr>
    </w:tbl>
    <w:bookmarkEnd w:id="41"/>
    <w:sectPr/>
    <w:sectPr>
      <w:footerReference w:type="default" r:id="rIdFtr1"/>
      <w:pgSz w:w="12240" w:h="15840"/>
      <w:pgMar w:top="1440" w:right="1440" w:bottom="1440" w:left="1440" w:header="720" w:footer="600"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http://schemas.openxmlformats.org/wordprocessingml/2006/main" xmlns:r="http://schemas.openxmlformats.org/officeDocument/2006/relationships">
  <w:p>
    <w:pPr>
      <w:jc w:val="center"/>
    </w:pPr>
    <w:r>
      <w:rPr>
        <w:sz w:val="17"/>
        <w:color w:val="777777"/>
      </w:rPr>
      <w:t xml:space="preserve">V the People Conference Summaries  ·  </w:t>
    </w:r>
    <w:r>
      <w:rPr>
        <w:sz w:val="17"/>
        <w:color w:val="777777"/>
      </w:rPr>
      <w:fldChar w:fldCharType="begin"/>
    </w:r>
    <w:r>
      <w:rPr>
        <w:sz w:val="17"/>
        <w:color w:val="777777"/>
      </w:rPr>
      <w:instrText xml:space="preserve"> PAGE </w:instrText>
    </w:r>
    <w:r>
      <w:rPr>
        <w:sz w:val="17"/>
        <w:color w:val="777777"/>
      </w:rPr>
      <w:fldChar w:fldCharType="separate"/>
    </w:r>
    <w:r>
      <w:rPr>
        <w:sz w:val="17"/>
        <w:color w:val="777777"/>
      </w:rPr>
      <w:t>1</w:t>
    </w:r>
    <w:r>
      <w:rPr>
        <w:sz w:val="17"/>
        <w:color w:val="777777"/>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This summary is based on the automated transcript of the session. Transcript, Panel III, The Case Against: Risks, Runaway Fears, and the</w:t>
      </w:r>
      <w:r>
        <w:t xml:space="preserve"> </w:t>
      </w:r>
      <w:r>
        <w:t xml:space="preserve">“</w:t>
      </w:r>
      <w:r>
        <w:t xml:space="preserve">Dead Letter</w:t>
      </w:r>
      <w:r>
        <w:t xml:space="preserve">”</w:t>
      </w:r>
      <w:r>
        <w:t xml:space="preserve"> </w:t>
      </w:r>
      <w:r>
        <w:t xml:space="preserve">View, V the People Conference, Harvard Law School (Oct. 3, 2026) (on file with the conference organizers). Quotations are lightly corrected for obvious transcription errors, and names are corrected against the conference roster. Descriptions of other organizations, application counts, and quotations of third parties are the speakers’ own and were not independently verified for this summary.</w:t>
      </w:r>
    </w:p>
  </w:footnote>
  <w:footnote w:id="22">
    <w:p>
      <w:pPr>
        <w:pStyle w:val="FootnoteText"/>
      </w:pPr>
      <w:r>
        <w:rPr>
          <w:rStyle w:val="FootnoteReference"/>
        </w:rPr>
        <w:footnoteRef/>
      </w:r>
      <w:r>
        <w:t xml:space="preserve"> </w:t>
      </w:r>
      <w:r>
        <w:t xml:space="preserve">Russ Feingold &amp; Peter Prindiville, The Constitution in Jeopardy: An Unprecedented Effort to Rewrite Our Fundamental Law and What We Can Do About It (2022).</w:t>
      </w:r>
    </w:p>
  </w:footnote>
  <w:footnote w:id="23">
    <w:p>
      <w:pPr>
        <w:pStyle w:val="FootnoteText"/>
      </w:pPr>
      <w:r>
        <w:rPr>
          <w:rStyle w:val="FootnoteReference"/>
        </w:rPr>
        <w:footnoteRef/>
      </w:r>
      <w:r>
        <w:t xml:space="preserve"> </w:t>
      </w:r>
      <w:r>
        <w:t xml:space="preserve">John F. Kowal &amp; Wilfred U. Codrington III, The People’s Constitution: 200 Years, 27 Amendments, and the Promise of a More Perfect Union (2021).</w:t>
      </w:r>
    </w:p>
  </w:footnote>
  <w:footnote w:id="24">
    <w:p>
      <w:pPr>
        <w:pStyle w:val="FootnoteText"/>
      </w:pPr>
      <w:r>
        <w:rPr>
          <w:rStyle w:val="FootnoteReference"/>
        </w:rPr>
        <w:footnoteRef/>
      </w:r>
      <w:r>
        <w:t xml:space="preserve"> </w:t>
      </w:r>
      <w:r>
        <w:t xml:space="preserve">V the People,</w:t>
      </w:r>
      <w:r>
        <w:t xml:space="preserve"> </w:t>
      </w:r>
      <w:r>
        <w:rPr>
          <w:iCs/>
          <w:i/>
        </w:rPr>
        <w:t xml:space="preserve">FAQ</w:t>
      </w:r>
      <w:r>
        <w:t xml:space="preserve">, https://vthepeople.org/faq.html (last visited Oct. 19, 2026).</w:t>
      </w:r>
    </w:p>
  </w:footnote>
  <w:footnote w:id="27">
    <w:p>
      <w:pPr>
        <w:pStyle w:val="FootnoteText"/>
      </w:pPr>
      <w:r>
        <w:rPr>
          <w:rStyle w:val="FootnoteReference"/>
        </w:rPr>
        <w:footnoteRef/>
      </w:r>
      <w:r>
        <w:t xml:space="preserve"> </w:t>
      </w:r>
      <w:r>
        <w:t xml:space="preserve">Nat’l Republican Senatorial Comm. v. FEC, 609 U.S. ___ (2026) (decided June 30, 2026).</w:t>
      </w:r>
    </w:p>
  </w:footnote>
  <w:footnote w:id="29">
    <w:p>
      <w:pPr>
        <w:pStyle w:val="FootnoteText"/>
      </w:pPr>
      <w:r>
        <w:rPr>
          <w:rStyle w:val="FootnoteReference"/>
        </w:rPr>
        <w:footnoteRef/>
      </w:r>
      <w:r>
        <w:t xml:space="preserve"> </w:t>
      </w:r>
      <w:r>
        <w:t xml:space="preserve">An earlier version of the Center for Media and Democracy’s analysis reported 31 Republican, 15 Democratic, and 4 mixed delegations. David Armiak,</w:t>
      </w:r>
      <w:r>
        <w:t xml:space="preserve"> </w:t>
      </w:r>
      <w:r>
        <w:rPr>
          <w:iCs/>
          <w:i/>
        </w:rPr>
        <w:t xml:space="preserve">The Dangers of a Constitutional Convention</w:t>
      </w:r>
      <w:r>
        <w:t xml:space="preserve">, ExposedbyCMD (Sept. 8, 2022), https://exposedbycmd.org/?p=10647. Super’s figures appear to reflect a later count.</w:t>
      </w:r>
    </w:p>
  </w:footnote>
  <w:footnote w:id="31">
    <w:p>
      <w:pPr>
        <w:pStyle w:val="FootnoteText"/>
      </w:pPr>
      <w:r>
        <w:rPr>
          <w:rStyle w:val="FootnoteReference"/>
        </w:rPr>
        <w:footnoteRef/>
      </w:r>
      <w:r>
        <w:t xml:space="preserve"> </w:t>
      </w:r>
      <w:r>
        <w:t xml:space="preserve">Cooper v. Aaron, 358 U.S. 1 (1958).</w:t>
      </w:r>
    </w:p>
  </w:footnote>
  <w:footnote w:id="32">
    <w:p>
      <w:pPr>
        <w:pStyle w:val="FootnoteText"/>
      </w:pPr>
      <w:r>
        <w:rPr>
          <w:rStyle w:val="FootnoteReference"/>
        </w:rPr>
        <w:footnoteRef/>
      </w:r>
      <w:r>
        <w:t xml:space="preserve"> </w:t>
      </w:r>
      <w:r>
        <w:t xml:space="preserve">Baker v. Carr, 369 U.S. 186 (1962).</w:t>
      </w:r>
    </w:p>
  </w:footnote>
  <w:footnote w:id="33">
    <w:p>
      <w:pPr>
        <w:pStyle w:val="FootnoteText"/>
      </w:pPr>
      <w:r>
        <w:rPr>
          <w:rStyle w:val="FootnoteReference"/>
        </w:rPr>
        <w:footnoteRef/>
      </w:r>
      <w:r>
        <w:t xml:space="preserve"> </w:t>
      </w:r>
      <w:r>
        <w:rPr>
          <w:iCs/>
          <w:i/>
        </w:rPr>
        <w:t xml:space="preserve">See</w:t>
      </w:r>
      <w:r>
        <w:t xml:space="preserve"> </w:t>
      </w:r>
      <w:r>
        <w:t xml:space="preserve">Walter Dellinger,</w:t>
      </w:r>
      <w:r>
        <w:t xml:space="preserve"> </w:t>
      </w:r>
      <w:r>
        <w:rPr>
          <w:iCs/>
          <w:i/>
        </w:rPr>
        <w:t xml:space="preserve">The Legitimacy of Constitutional Change: Rethinking the Amendment Process</w:t>
      </w:r>
      <w:r>
        <w:t xml:space="preserve">, 97 Harv. L. Rev. 386 (1983); Richard Albert, Constitutional Amendments: Making, Breaking, and Changing Constitutions (2019);</w:t>
      </w:r>
      <w:r>
        <w:t xml:space="preserve"> </w:t>
      </w:r>
      <w:r>
        <w:rPr>
          <w:iCs/>
          <w:i/>
        </w:rPr>
        <w:t xml:space="preserve">see also</w:t>
      </w:r>
      <w:r>
        <w:t xml:space="preserve"> </w:t>
      </w:r>
      <w:r>
        <w:t xml:space="preserve">Mark A. Lemley,</w:t>
      </w:r>
      <w:r>
        <w:t xml:space="preserve"> </w:t>
      </w:r>
      <w:r>
        <w:rPr>
          <w:iCs/>
          <w:i/>
        </w:rPr>
        <w:t xml:space="preserve">The Imperial Supreme Court</w:t>
      </w:r>
      <w:r>
        <w:t xml:space="preserve">, 136 Harv. L. Rev. F. 97 (2022).</w:t>
      </w:r>
    </w:p>
  </w:footnote>
  <w:footnote w:id="34">
    <w:p>
      <w:pPr>
        <w:pStyle w:val="FootnoteText"/>
      </w:pPr>
      <w:r>
        <w:rPr>
          <w:rStyle w:val="FootnoteReference"/>
        </w:rPr>
        <w:footnoteRef/>
      </w:r>
      <w:r>
        <w:t xml:space="preserve"> </w:t>
      </w:r>
      <w:r>
        <w:t xml:space="preserve">Leser v. Garnett, 258 U.S. 130 (1922).</w:t>
      </w:r>
    </w:p>
  </w:footnote>
  <w:footnote w:id="35">
    <w:p>
      <w:pPr>
        <w:pStyle w:val="FootnoteText"/>
      </w:pPr>
      <w:r>
        <w:rPr>
          <w:rStyle w:val="FootnoteReference"/>
        </w:rPr>
        <w:footnoteRef/>
      </w:r>
      <w:r>
        <w:t xml:space="preserve"> </w:t>
      </w:r>
      <w:r>
        <w:t xml:space="preserve">Coleman v. Miller, 307 U.S. 433, 459 (1939) (Black, J., concurring).</w:t>
      </w:r>
    </w:p>
  </w:footnote>
  <w:footnote w:id="36">
    <w:p>
      <w:pPr>
        <w:pStyle w:val="FootnoteText"/>
      </w:pPr>
      <w:r>
        <w:rPr>
          <w:rStyle w:val="FootnoteReference"/>
        </w:rPr>
        <w:footnoteRef/>
      </w:r>
      <w:r>
        <w:t xml:space="preserve"> </w:t>
      </w:r>
      <w:r>
        <w:t xml:space="preserve">Bush v. Gore, 531 U.S. 98 (2000) (per curiam); Trump v. United States, 603 U.S. 593 (2024).</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line="276" w:lineRule="auto"/>
    </w:pPr>
    <w:rPr>
      <w:rFonts w:ascii="Georgia" w:cs="Georgia" w:eastAsia="Georgia" w:hAnsi="Georgia"/>
      <w:color w:val="222222"/>
      <w:sz w:val="22"/>
      <w:szCs w:val="22"/>
    </w:rPr>
  </w:style>
  <w:style w:styleId="BodyText" w:type="paragraph">
    <w:name w:val="Body Text"/>
    <w:basedOn w:val="Normal"/>
    <w:link w:val="BodyTextChar"/>
    <w:qFormat/>
    <w:pPr>
      <w:spacing w:after="160" w:before="0" w:line="288" w:lineRule="auto"/>
    </w:pPr>
  </w:style>
  <w:style w:customStyle="1" w:styleId="FirstParagraph" w:type="paragraph">
    <w:name w:val="First Paragraph"/>
    <w:basedOn w:val="BodyText"/>
    <w:next w:val="BodyText"/>
    <w:qFormat/>
  </w:style>
  <w:style w:customStyle="1" w:styleId="Compact" w:type="paragraph">
    <w:name w:val="Compact"/>
    <w:basedOn w:val="BodyText"/>
    <w:qFormat/>
    <w:pPr>
      <w:spacing w:after="40" w:before="40" w:line="252" w:lineRule="auto"/>
    </w:pPr>
    <w:rPr>
      <w:sz w:val="19"/>
      <w:szCs w:val="19"/>
    </w:rPr>
  </w:style>
  <w:style w:styleId="Title" w:type="paragraph">
    <w:name w:val="Title"/>
    <w:basedOn w:val="Normal"/>
    <w:next w:val="BodyText"/>
    <w:qFormat/>
    <w:pPr>
      <w:keepNext/>
      <w:keepLines/>
      <w:spacing w:after="80" w:before="0"/>
    </w:pPr>
    <w:rPr>
      <w:rFonts w:ascii="Georgia" w:cs="Georgia" w:eastAsia="Georgia" w:hAnsi="Georgia"/>
      <w:b/>
      <w:color w:val="1F3A5F"/>
      <w:sz w:val="40"/>
      <w:szCs w:val="40"/>
    </w:rPr>
  </w:style>
  <w:style w:styleId="Subtitle" w:type="paragraph">
    <w:name w:val="Subtitle"/>
    <w:basedOn w:val="Normal"/>
    <w:next w:val="BodyText"/>
    <w:qFormat/>
    <w:pPr>
      <w:keepNext/>
      <w:spacing w:after="240" w:before="0"/>
      <w:pBdr>
        <w:bottom w:color="1F3A5F" w:space="8" w:sz="6" w:val="single"/>
      </w:pBdr>
    </w:pPr>
    <w:rPr>
      <w:rFonts w:ascii="Georgia" w:cs="Georgia" w:eastAsia="Georgia" w:hAnsi="Georgia"/>
      <w:i/>
      <w:color w:val="555555"/>
      <w:sz w:val="22"/>
      <w:szCs w:val="22"/>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Georgia" w:cs="Georgia" w:eastAsia="Georgia" w:hAnsi="Georgia"/>
      <w:b/>
      <w:color w:val="1F3A5F"/>
      <w:sz w:val="28"/>
      <w:szCs w:val="28"/>
    </w:rPr>
  </w:style>
  <w:style w:styleId="Heading2" w:type="paragraph">
    <w:name w:val="heading 2"/>
    <w:basedOn w:val="Normal"/>
    <w:next w:val="BodyText"/>
    <w:uiPriority w:val="9"/>
    <w:unhideWhenUsed/>
    <w:qFormat/>
    <w:pPr>
      <w:keepNext/>
      <w:keepLines/>
      <w:spacing w:after="80" w:before="240"/>
      <w:outlineLvl w:val="1"/>
    </w:pPr>
    <w:rPr>
      <w:rFonts w:ascii="Georgia" w:cs="Georgia" w:eastAsia="Georgia" w:hAnsi="Georgia"/>
      <w:b/>
      <w:i/>
      <w:color w:val="1F3A5F"/>
      <w:sz w:val="23"/>
      <w:szCs w:val="23"/>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pPr>
      <w:spacing w:after="60" w:line="240" w:lineRule="auto"/>
    </w:pPr>
    <w:rPr>
      <w:sz w:val="18"/>
      <w:szCs w:val="18"/>
    </w:r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1F3A5F" w:space="0" w:sz="6" w:val="single"/>
        <w:bottom w:color="1F3A5F" w:space="0" w:sz="6" w:val="single"/>
        <w:insideH w:color="C8CED6" w:space="0" w:sz="4" w:val="single"/>
      </w:tblBorders>
      <w:tblCellMar>
        <w:top w:type="dxa" w:w="60"/>
        <w:left w:type="dxa" w:w="100"/>
        <w:bottom w:type="dxa" w:w="60"/>
        <w:right w:type="dxa" w:w="100"/>
      </w:tblCellMar>
    </w:tblPr>
    <w:tblStylePr w:type="firstRow">
      <w:rPr>
        <w:b/>
        <w:color w:val="1F3A5F"/>
      </w:rPr>
      <w:tblPr/>
      <w:tcPr>
        <w:shd w:color="auto" w:fill="EEF2F6"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Ftr1" Type="http://schemas.openxmlformats.org/officeDocument/2006/relationships/footer" Target="footer1.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 7: Panel III, The Case Against: Risks, Runaway Fears, and the ‘Dead Letter’ View</dc:title>
  <dc:creator/>
  <cp:keywords/>
  <dcterms:created xsi:type="dcterms:W3CDTF">2026-10-19T14:17:04Z</dcterms:created>
  <dcterms:modified xsi:type="dcterms:W3CDTF">2026-10-19T14:17:04Z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 the People Conference on an Article V Convention · Harvard Law School · Saturday, October 3, 2026</vt:lpwstr>
  </property>
</Properties>
</file>