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Session</w:t>
      </w:r>
      <w:r>
        <w:t xml:space="preserve"> </w:t>
      </w:r>
      <w:r>
        <w:t xml:space="preserve">5:</w:t>
      </w:r>
      <w:r>
        <w:t xml:space="preserve"> </w:t>
      </w:r>
      <w:r>
        <w:t xml:space="preserve">Panel</w:t>
      </w:r>
      <w:r>
        <w:t xml:space="preserve"> </w:t>
      </w:r>
      <w:r>
        <w:t xml:space="preserve">II,</w:t>
      </w:r>
      <w:r>
        <w:t xml:space="preserve"> </w:t>
      </w:r>
      <w:r>
        <w:t xml:space="preserve">The</w:t>
      </w:r>
      <w:r>
        <w:t xml:space="preserve"> </w:t>
      </w:r>
      <w:r>
        <w:t xml:space="preserve">Grand</w:t>
      </w:r>
      <w:r>
        <w:t xml:space="preserve"> </w:t>
      </w:r>
      <w:r>
        <w:t xml:space="preserve">Bargain:</w:t>
      </w:r>
      <w:r>
        <w:t xml:space="preserve"> </w:t>
      </w:r>
      <w:r>
        <w:t xml:space="preserve">Substantive</w:t>
      </w:r>
      <w:r>
        <w:t xml:space="preserve"> </w:t>
      </w:r>
      <w:r>
        <w:t xml:space="preserve">Amendment</w:t>
      </w:r>
      <w:r>
        <w:t xml:space="preserve"> </w:t>
      </w:r>
      <w:r>
        <w:t xml:space="preserve">Proposals</w:t>
      </w:r>
    </w:p>
    <w:p>
      <w:pPr>
        <w:pStyle w:val="Subtitle"/>
      </w:pPr>
      <w:r>
        <w:t xml:space="preserve">V</w:t>
      </w:r>
      <w:r>
        <w:t xml:space="preserve"> </w:t>
      </w:r>
      <w:r>
        <w:t xml:space="preserve">the</w:t>
      </w:r>
      <w:r>
        <w:t xml:space="preserve"> </w:t>
      </w:r>
      <w:r>
        <w:t xml:space="preserve">People</w:t>
      </w:r>
      <w:r>
        <w:t xml:space="preserve"> </w:t>
      </w:r>
      <w:r>
        <w:t xml:space="preserve">Conference</w:t>
      </w:r>
      <w:r>
        <w:t xml:space="preserve"> </w:t>
      </w:r>
      <w:r>
        <w:t xml:space="preserve">on</w:t>
      </w:r>
      <w:r>
        <w:t xml:space="preserve"> </w:t>
      </w:r>
      <w:r>
        <w:t xml:space="preserve">an</w:t>
      </w:r>
      <w:r>
        <w:t xml:space="preserve"> </w:t>
      </w:r>
      <w:r>
        <w:t xml:space="preserve">Article</w:t>
      </w:r>
      <w:r>
        <w:t xml:space="preserve"> </w:t>
      </w:r>
      <w:r>
        <w:t xml:space="preserve">V</w:t>
      </w:r>
      <w:r>
        <w:t xml:space="preserve"> </w:t>
      </w:r>
      <w:r>
        <w:t xml:space="preserve">Convention</w:t>
      </w:r>
      <w:r>
        <w:t xml:space="preserve"> </w:t>
      </w:r>
      <w:r>
        <w:t xml:space="preserve">·</w:t>
      </w:r>
      <w:r>
        <w:t xml:space="preserve"> </w:t>
      </w:r>
      <w:r>
        <w:t xml:space="preserve">Harvard</w:t>
      </w:r>
      <w:r>
        <w:t xml:space="preserve"> </w:t>
      </w:r>
      <w:r>
        <w:t xml:space="preserve">Law</w:t>
      </w:r>
      <w:r>
        <w:t xml:space="preserve"> </w:t>
      </w:r>
      <w:r>
        <w:t xml:space="preserve">School</w:t>
      </w:r>
      <w:r>
        <w:t xml:space="preserve"> </w:t>
      </w:r>
      <w:r>
        <w:t xml:space="preserve">·</w:t>
      </w:r>
      <w:r>
        <w:t xml:space="preserve"> </w:t>
      </w:r>
      <w:r>
        <w:t xml:space="preserve">Saturday,</w:t>
      </w:r>
      <w:r>
        <w:t xml:space="preserve"> </w:t>
      </w:r>
      <w:r>
        <w:t xml:space="preserve">October</w:t>
      </w:r>
      <w:r>
        <w:t xml:space="preserve"> </w:t>
      </w:r>
      <w:r>
        <w:t xml:space="preserve">3,</w:t>
      </w:r>
      <w:r>
        <w:t xml:space="preserve"> </w:t>
      </w:r>
      <w:r>
        <w:t xml:space="preserve">2026</w:t>
      </w:r>
    </w:p>
    <w:tbl>
      <w:tblPr>
        <w:tblStyle w:val="Table"/>
        <w:tblW w:type="pct" w:w="5000"/>
        <w:tblLook w:firstRow="0" w:lastRow="0" w:firstColumn="0" w:lastColumn="0" w:noHBand="0" w:noVBand="0" w:val="0000"/>
        <w:jc w:val="start"/>
      </w:tblPr>
      <w:tblGrid>
        <w:gridCol w:w="2066"/>
        <w:gridCol w:w="5853"/>
      </w:tblGrid>
      <w:tr>
        <w:tc>
          <w:tcPr/>
          <w:p>
            <w:pPr>
              <w:pStyle w:val="Compact"/>
              <w:jc w:val="left"/>
            </w:pPr>
            <w:r>
              <w:t xml:space="preserve">Program slot</w:t>
            </w:r>
          </w:p>
        </w:tc>
        <w:tc>
          <w:tcPr/>
          <w:p>
            <w:pPr>
              <w:pStyle w:val="Compact"/>
              <w:jc w:val="left"/>
            </w:pPr>
            <w:r>
              <w:t xml:space="preserve">11:00 a.m.</w:t>
            </w:r>
          </w:p>
        </w:tc>
      </w:tr>
      <w:tr>
        <w:tc>
          <w:tcPr/>
          <w:p>
            <w:pPr>
              <w:pStyle w:val="Compact"/>
              <w:jc w:val="left"/>
            </w:pPr>
            <w:r>
              <w:t xml:space="preserve">Panelists</w:t>
            </w:r>
          </w:p>
        </w:tc>
        <w:tc>
          <w:tcPr/>
          <w:p>
            <w:pPr>
              <w:pStyle w:val="Compact"/>
              <w:jc w:val="left"/>
            </w:pPr>
            <w:r>
              <w:t xml:space="preserve">Michael Farris, Co-Founder and Senior Advisor, Convention of States Project. Samuel Fieldman, National Counsel, Wolf Pack (formerly WolfPAC). Jim Rubens, former New Hampshire State Senator, board member of American Promise and of the Federal Fiscal Sustainability Foundation. David Walker, former Comptroller General of the United States, chair of the Federal Fiscal Sustainability Foundation. Jarvis Johnson, former Texas State Representative, was scheduled but could not attend.</w:t>
            </w:r>
          </w:p>
        </w:tc>
      </w:tr>
      <w:tr>
        <w:tc>
          <w:tcPr/>
          <w:p>
            <w:pPr>
              <w:pStyle w:val="Compact"/>
              <w:jc w:val="left"/>
            </w:pPr>
            <w:r>
              <w:t xml:space="preserve">Moderator</w:t>
            </w:r>
          </w:p>
        </w:tc>
        <w:tc>
          <w:tcPr/>
          <w:p>
            <w:pPr>
              <w:pStyle w:val="Compact"/>
              <w:jc w:val="left"/>
            </w:pPr>
            <w:r>
              <w:t xml:space="preserve">Guy-Uriel Charles, Charles J. Ogletree, Jr. Professor of Law, Harvard Law School</w:t>
            </w:r>
          </w:p>
        </w:tc>
      </w:tr>
      <w:tr>
        <w:tc>
          <w:tcPr/>
          <w:p>
            <w:pPr>
              <w:pStyle w:val="Compact"/>
              <w:jc w:val="left"/>
            </w:pPr>
            <w:r>
              <w:t xml:space="preserve">Recording</w:t>
            </w:r>
          </w:p>
        </w:tc>
        <w:tc>
          <w:tcPr/>
          <w:p>
            <w:pPr>
              <w:pStyle w:val="Compact"/>
              <w:jc w:val="left"/>
            </w:pPr>
            <w:r>
              <w:t xml:space="preserve">About 89 minutes</w:t>
            </w:r>
          </w:p>
        </w:tc>
      </w:tr>
    </w:tbl>
    <w:bookmarkStart w:id="21" w:name="in-brief"/>
    <w:p>
      <w:pPr>
        <w:pStyle w:val="Heading1"/>
      </w:pPr>
      <w:r>
        <w:t xml:space="preserve">In brief</w:t>
      </w:r>
    </w:p>
    <w:p>
      <w:pPr>
        <w:pStyle w:val="FirstParagraph"/>
      </w:pPr>
      <w:r>
        <w:t xml:space="preserve">The</w:t>
      </w:r>
      <w:r>
        <w:t xml:space="preserve"> </w:t>
      </w:r>
      <w:r>
        <w:t xml:space="preserve">“</w:t>
      </w:r>
      <w:r>
        <w:t xml:space="preserve">Grand Bargain</w:t>
      </w:r>
      <w:r>
        <w:t xml:space="preserve">”</w:t>
      </w:r>
      <w:r>
        <w:t xml:space="preserve"> </w:t>
      </w:r>
      <w:r>
        <w:t xml:space="preserve">panel brought together the leading convention campaigns from right and left. They agreed on more than one might expect: that Congress will not propose amendments limiting its own power or its members’ tenure, that the public supports term limits, limits on campaign money, and fiscal restraint by wide margins, and that the movement’s first task is to prove that a convention can be held safely. They did not agree on a bargain. Lessig asked why the campaigns could not unite around a shared agenda of fiscal responsibility and</w:t>
      </w:r>
      <w:r>
        <w:t xml:space="preserve"> </w:t>
      </w:r>
      <w:r>
        <w:t xml:space="preserve">“</w:t>
      </w:r>
      <w:r>
        <w:t xml:space="preserve">representational integrity,</w:t>
      </w:r>
      <w:r>
        <w:t xml:space="preserve">”</w:t>
      </w:r>
      <w:r>
        <w:t xml:space="preserve"> </w:t>
      </w:r>
      <w:r>
        <w:t xml:space="preserve">or link their efforts procedurally. The fiscal advocates answered that the movement should prove the concept with one issue first, and that the issue should be theirs.</w:t>
      </w:r>
      <w:r>
        <w:rPr>
          <w:rStyle w:val="FootnoteReference"/>
        </w:rPr>
        <w:footnoteReference w:id="20"/>
      </w:r>
    </w:p>
    <w:p>
      <w:pPr>
        <w:pStyle w:val="BodyText"/>
      </w:pPr>
      <w:r>
        <w:t xml:space="preserve">The panel also exposed a split inside the pro-convention camp. Walker and Rubens argued that Congress has been legally obliged to call a fiscal convention since 1979, by counting broad</w:t>
      </w:r>
      <w:r>
        <w:t xml:space="preserve"> </w:t>
      </w:r>
      <w:r>
        <w:t xml:space="preserve">“</w:t>
      </w:r>
      <w:r>
        <w:t xml:space="preserve">plenary</w:t>
      </w:r>
      <w:r>
        <w:t xml:space="preserve">”</w:t>
      </w:r>
      <w:r>
        <w:t xml:space="preserve"> </w:t>
      </w:r>
      <w:r>
        <w:t xml:space="preserve">applications alongside fiscal ones, and they are seeking a state attorney general to sue. Farris rejected that strategy, warning that the same counting would trigger conventions on abortion and state senate apportionment. And a sharp exchange over funding transparency foreshadowed the afternoon’s main theme: whether a convention could be captured by organized money.</w:t>
      </w:r>
    </w:p>
    <w:bookmarkEnd w:id="21"/>
    <w:bookmarkStart w:id="24" w:name="context"/>
    <w:p>
      <w:pPr>
        <w:pStyle w:val="Heading1"/>
      </w:pPr>
      <w:r>
        <w:t xml:space="preserve">Context</w:t>
      </w:r>
    </w:p>
    <w:p>
      <w:pPr>
        <w:pStyle w:val="FirstParagraph"/>
      </w:pPr>
      <w:r>
        <w:t xml:space="preserve">Four campaigns were represented. The</w:t>
      </w:r>
      <w:r>
        <w:t xml:space="preserve"> </w:t>
      </w:r>
      <w:r>
        <w:rPr>
          <w:bCs/>
          <w:b/>
        </w:rPr>
        <w:t xml:space="preserve">Convention of States Project</w:t>
      </w:r>
      <w:r>
        <w:t xml:space="preserve">, co-founded by Farris and Mark Meckler in 2013, seeks a convention on three subjects: fiscal restraints on the federal government, limits on its power and jurisdiction, and term limits for federal officials. Farris said 20 states have adopted its application.</w:t>
      </w:r>
      <w:r>
        <w:t xml:space="preserve"> </w:t>
      </w:r>
      <w:r>
        <w:rPr>
          <w:bCs/>
          <w:b/>
        </w:rPr>
        <w:t xml:space="preserve">Fiscal responsibility</w:t>
      </w:r>
      <w:r>
        <w:t xml:space="preserve"> </w:t>
      </w:r>
      <w:r>
        <w:t xml:space="preserve">campaigns include Balanced Budget Now, which Walker said has 28 states with matching fiscal-only applications, and Walker’s Federal Fiscal Sustainability Foundation, which is pursuing litigation.</w:t>
      </w:r>
      <w:r>
        <w:t xml:space="preserve"> </w:t>
      </w:r>
      <w:r>
        <w:rPr>
          <w:bCs/>
          <w:b/>
        </w:rPr>
        <w:t xml:space="preserve">Wolf Pack</w:t>
      </w:r>
      <w:r>
        <w:t xml:space="preserve">, formerly WolfPAC, was founded after Lessig’s 2011 Harvard conference to seek an amendment addressing money in politics after</w:t>
      </w:r>
      <w:r>
        <w:t xml:space="preserve"> </w:t>
      </w:r>
      <w:r>
        <w:rPr>
          <w:iCs/>
          <w:i/>
        </w:rPr>
        <w:t xml:space="preserve">Citizens United</w:t>
      </w:r>
      <w:r>
        <w:t xml:space="preserve">.</w:t>
      </w:r>
      <w:r>
        <w:rPr>
          <w:rStyle w:val="FootnoteReference"/>
        </w:rPr>
        <w:footnoteReference w:id="22"/>
      </w:r>
      <w:r>
        <w:t xml:space="preserve"> </w:t>
      </w:r>
      <w:r>
        <w:rPr>
          <w:bCs/>
          <w:b/>
        </w:rPr>
        <w:t xml:space="preserve">American Promise</w:t>
      </w:r>
      <w:r>
        <w:t xml:space="preserve"> </w:t>
      </w:r>
      <w:r>
        <w:t xml:space="preserve">pursues a similar amendment, the For Our Freedom Amendment, through Congress rather than a convention. U.S. Term Limits, represented by the absent Jarvis Johnson, seeks term limits for members of Congress.</w:t>
      </w:r>
    </w:p>
    <w:p>
      <w:pPr>
        <w:pStyle w:val="BodyText"/>
      </w:pPr>
      <w:r>
        <w:t xml:space="preserve">Two technical terms became important here. A</w:t>
      </w:r>
      <w:r>
        <w:t xml:space="preserve"> </w:t>
      </w:r>
      <w:r>
        <w:rPr>
          <w:iCs/>
          <w:i/>
        </w:rPr>
        <w:t xml:space="preserve">plenary</w:t>
      </w:r>
      <w:r>
        <w:t xml:space="preserve"> </w:t>
      </w:r>
      <w:r>
        <w:t xml:space="preserve">application asks for a convention on any subject.</w:t>
      </w:r>
      <w:r>
        <w:t xml:space="preserve"> </w:t>
      </w:r>
      <w:r>
        <w:rPr>
          <w:iCs/>
          <w:i/>
        </w:rPr>
        <w:t xml:space="preserve">Aggregation</w:t>
      </w:r>
      <w:r>
        <w:t xml:space="preserve"> </w:t>
      </w:r>
      <w:r>
        <w:t xml:space="preserve">is the practice of counting applications on different topics, or plenary and single-topic applications, together toward the 34-state threshold. Whether aggregation is proper is one of the most disputed questions in Article V law.</w:t>
      </w:r>
      <w:r>
        <w:rPr>
          <w:rStyle w:val="FootnoteReference"/>
        </w:rPr>
        <w:footnoteReference w:id="23"/>
      </w:r>
    </w:p>
    <w:bookmarkEnd w:id="24"/>
    <w:bookmarkStart w:id="31" w:name="opening-statements"/>
    <w:p>
      <w:pPr>
        <w:pStyle w:val="Heading1"/>
      </w:pPr>
      <w:r>
        <w:t xml:space="preserve">Opening statements</w:t>
      </w:r>
    </w:p>
    <w:bookmarkStart w:id="25" w:name="michael-farris"/>
    <w:p>
      <w:pPr>
        <w:pStyle w:val="Heading2"/>
      </w:pPr>
      <w:r>
        <w:t xml:space="preserve">Michael Farris</w:t>
      </w:r>
    </w:p>
    <w:p>
      <w:pPr>
        <w:pStyle w:val="FirstParagraph"/>
      </w:pPr>
      <w:r>
        <w:t xml:space="preserve">Farris said the Convention of States began on his Facebook page as a series of posts about</w:t>
      </w:r>
      <w:r>
        <w:t xml:space="preserve"> </w:t>
      </w:r>
      <w:r>
        <w:t xml:space="preserve">“</w:t>
      </w:r>
      <w:r>
        <w:t xml:space="preserve">an unaccountable runaway federal government.</w:t>
      </w:r>
      <w:r>
        <w:t xml:space="preserve">”</w:t>
      </w:r>
      <w:r>
        <w:t xml:space="preserve"> </w:t>
      </w:r>
      <w:r>
        <w:t xml:space="preserve">He contrasted roughly 50 volumes of federal statutes passed by Congress with roughly 250 volumes of regulations written by agencies, which he called neither representative nor, in his view, constitutional. He described the debt, by his account $40 trillion acknowledged and about $140 trillion under generally accepted accounting, as an</w:t>
      </w:r>
      <w:r>
        <w:t xml:space="preserve"> </w:t>
      </w:r>
      <w:r>
        <w:t xml:space="preserve">“</w:t>
      </w:r>
      <w:r>
        <w:t xml:space="preserve">existential threat.</w:t>
      </w:r>
      <w:r>
        <w:t xml:space="preserve">”</w:t>
      </w:r>
      <w:r>
        <w:t xml:space="preserve"> </w:t>
      </w:r>
      <w:r>
        <w:t xml:space="preserve">Interest now consumes 19.1 percent of federal revenue, and he doubted the system can survive past 25 or 30 percent without a failed Treasury auction.</w:t>
      </w:r>
      <w:r>
        <w:t xml:space="preserve"> </w:t>
      </w:r>
      <w:r>
        <w:t xml:space="preserve">“</w:t>
      </w:r>
      <w:r>
        <w:t xml:space="preserve">People who feel powerless become revolutionary,</w:t>
      </w:r>
      <w:r>
        <w:t xml:space="preserve">”</w:t>
      </w:r>
      <w:r>
        <w:t xml:space="preserve"> </w:t>
      </w:r>
      <w:r>
        <w:t xml:space="preserve">he said, and timely amendments are the alternative.</w:t>
      </w:r>
    </w:p>
    <w:p>
      <w:pPr>
        <w:pStyle w:val="BodyText"/>
      </w:pPr>
      <w:r>
        <w:t xml:space="preserve">He also answered the history panel. Patrick Henry wanted a second general convention to start over, and Madison opposed that, not amendments. And he disputed that Philadelphia ignored the Articles’ amendment rules: Congress approved the new ratification process, and all thirteen legislatures, including Rhode Island’s, approved it by calling ratifying conventions.</w:t>
      </w:r>
    </w:p>
    <w:bookmarkEnd w:id="25"/>
    <w:bookmarkStart w:id="27" w:name="samuel-fieldman"/>
    <w:p>
      <w:pPr>
        <w:pStyle w:val="Heading2"/>
      </w:pPr>
      <w:r>
        <w:t xml:space="preserve">Samuel Fieldman</w:t>
      </w:r>
    </w:p>
    <w:p>
      <w:pPr>
        <w:pStyle w:val="FirstParagraph"/>
      </w:pPr>
      <w:r>
        <w:t xml:space="preserve">Fieldman said he joined WolfPAC the day it formed, after the 2011 conference, while working on public corruption prosecutions in the New York Attorney General’s office and expecting twin daughters. The cause was popular across parties, and five states passed WolfPAC’s application quickly. Since then, he said, corruption has worsened, and the Supreme Court has narrowed the reach of federal corruption law.</w:t>
      </w:r>
      <w:r>
        <w:rPr>
          <w:rStyle w:val="FootnoteReference"/>
        </w:rPr>
        <w:footnoteReference w:id="26"/>
      </w:r>
    </w:p>
    <w:p>
      <w:pPr>
        <w:pStyle w:val="BodyText"/>
      </w:pPr>
      <w:r>
        <w:t xml:space="preserve">He then made pointed charges against the convention’s institutional opponents. He said the ACLU opposes conventions while its lawyers privately disagree with its position on</w:t>
      </w:r>
      <w:r>
        <w:t xml:space="preserve"> </w:t>
      </w:r>
      <w:r>
        <w:rPr>
          <w:iCs/>
          <w:i/>
        </w:rPr>
        <w:t xml:space="preserve">Citizens United</w:t>
      </w:r>
      <w:r>
        <w:t xml:space="preserve">, that an Illinois legislator told him she voted to rescind a WolfPAC application only because leadership threatened her own bill, and that Common Cause receives large anonymous gifts and has not published an annual report since 2013. These were his allegations; the organizations did not respond on this panel. He distributed handouts with the full text of the Scalia quotation discussed the night before.</w:t>
      </w:r>
    </w:p>
    <w:bookmarkEnd w:id="27"/>
    <w:bookmarkStart w:id="28" w:name="jim-rubens"/>
    <w:p>
      <w:pPr>
        <w:pStyle w:val="Heading2"/>
      </w:pPr>
      <w:r>
        <w:t xml:space="preserve">Jim Rubens</w:t>
      </w:r>
    </w:p>
    <w:p>
      <w:pPr>
        <w:pStyle w:val="FirstParagraph"/>
      </w:pPr>
      <w:r>
        <w:t xml:space="preserve">Rubens, a former New Hampshire state senator and twice a U.S. Senate candidate, spoke in his own capacity. He described American Promise’s success through the congressional route: 25 states have passed resolutions asking Congress to propose the For Our Freedom Amendment, including unanimous votes in Oklahoma and Idaho, and Representative Tom Barrett of Michigan is its first Republican lead sponsor. The lesson, he said, is that each campaign should choose the route that works for its amendment.</w:t>
      </w:r>
    </w:p>
    <w:p>
      <w:pPr>
        <w:pStyle w:val="BodyText"/>
      </w:pPr>
      <w:r>
        <w:t xml:space="preserve">He argued that the state-led convention process is</w:t>
      </w:r>
      <w:r>
        <w:t xml:space="preserve"> </w:t>
      </w:r>
      <w:r>
        <w:t xml:space="preserve">“</w:t>
      </w:r>
      <w:r>
        <w:t xml:space="preserve">the most potent vehicle we have</w:t>
      </w:r>
      <w:r>
        <w:t xml:space="preserve">”</w:t>
      </w:r>
      <w:r>
        <w:t xml:space="preserve"> </w:t>
      </w:r>
      <w:r>
        <w:t xml:space="preserve">for civic healing, and that the movement must defeat three falsehoods: that the Constitution is unamendable, that a convention would run away or shred the Bill of Rights, and that today’s Americans and state legislators are not capable of self-government. Americans, he said, still solve problems together across ideological lines in local government. The breakdown is at the federal level.</w:t>
      </w:r>
    </w:p>
    <w:bookmarkEnd w:id="28"/>
    <w:bookmarkStart w:id="30" w:name="david-walker"/>
    <w:p>
      <w:pPr>
        <w:pStyle w:val="Heading2"/>
      </w:pPr>
      <w:r>
        <w:t xml:space="preserve">David Walker</w:t>
      </w:r>
    </w:p>
    <w:p>
      <w:pPr>
        <w:pStyle w:val="FirstParagraph"/>
      </w:pPr>
      <w:r>
        <w:t xml:space="preserve">Walker described the Federal Fiscal Sustainability Foundation’s research. Counting plenary applications alongside fiscal-only applications, it concluded that 34 states had applied by 1979 and again in 2016 and 2017, so Congress should already have called a convention. Its numbers, he said, were verified by the National Federalism Commission, an interstate body created by state legislatures. Representative Jodey Arrington, chair of the House Budget Committee, has introduced a resolution to call the convention on that basis.</w:t>
      </w:r>
      <w:r>
        <w:rPr>
          <w:rStyle w:val="FootnoteReference"/>
        </w:rPr>
        <w:footnoteReference w:id="29"/>
      </w:r>
      <w:r>
        <w:t xml:space="preserve"> </w:t>
      </w:r>
      <w:r>
        <w:t xml:space="preserve">Walker likened Congress’s inaction to</w:t>
      </w:r>
      <w:r>
        <w:t xml:space="preserve"> </w:t>
      </w:r>
      <w:r>
        <w:t xml:space="preserve">“</w:t>
      </w:r>
      <w:r>
        <w:t xml:space="preserve">second-degree murder of states’ rights,</w:t>
      </w:r>
      <w:r>
        <w:t xml:space="preserve">”</w:t>
      </w:r>
      <w:r>
        <w:t xml:space="preserve"> </w:t>
      </w:r>
      <w:r>
        <w:t xml:space="preserve">for which</w:t>
      </w:r>
      <w:r>
        <w:t xml:space="preserve"> </w:t>
      </w:r>
      <w:r>
        <w:t xml:space="preserve">“</w:t>
      </w:r>
      <w:r>
        <w:t xml:space="preserve">there’s no statute of limitations.</w:t>
      </w:r>
      <w:r>
        <w:t xml:space="preserve">”</w:t>
      </w:r>
    </w:p>
    <w:p>
      <w:pPr>
        <w:pStyle w:val="BodyText"/>
      </w:pPr>
      <w:r>
        <w:t xml:space="preserve">He described three efforts. His foundation is looking for a state attorney general to sue Congress; one who had agreed to file backed out the previous month. Balanced Budget Now is trying to reach 33 or 34 identical applications and has 28. The Convention of States has 20. Fiscal responsibility comes first, he said, because</w:t>
      </w:r>
      <w:r>
        <w:t xml:space="preserve"> </w:t>
      </w:r>
      <w:r>
        <w:t xml:space="preserve">“</w:t>
      </w:r>
      <w:r>
        <w:t xml:space="preserve">if we can’t put our finances in order… the other ones won’t matter.</w:t>
      </w:r>
      <w:r>
        <w:t xml:space="preserve">”</w:t>
      </w:r>
    </w:p>
    <w:bookmarkEnd w:id="30"/>
    <w:bookmarkEnd w:id="31"/>
    <w:bookmarkStart w:id="40" w:name="discussion"/>
    <w:p>
      <w:pPr>
        <w:pStyle w:val="Heading1"/>
      </w:pPr>
      <w:r>
        <w:t xml:space="preserve">Discussion</w:t>
      </w:r>
    </w:p>
    <w:bookmarkStart w:id="33" w:name="how-to-build-the-movement"/>
    <w:p>
      <w:pPr>
        <w:pStyle w:val="Heading2"/>
      </w:pPr>
      <w:r>
        <w:t xml:space="preserve">How to build the movement</w:t>
      </w:r>
    </w:p>
    <w:p>
      <w:pPr>
        <w:pStyle w:val="FirstParagraph"/>
      </w:pPr>
      <w:r>
        <w:t xml:space="preserve">Farris described the Convention of States as the largest grassroots movement in the field, with two to three million petition signers, 40,000 to 50,000 activists, and capacity to work about eight states a year. He said the John Birch Society and Common Cause testify side by side against it and have scared off several of the most conservative states. He noted that the Birch Society’s founders once promoted an Article V campaign of their own, for the</w:t>
      </w:r>
      <w:r>
        <w:t xml:space="preserve"> </w:t>
      </w:r>
      <w:r>
        <w:t xml:space="preserve">“</w:t>
      </w:r>
      <w:r>
        <w:t xml:space="preserve">Liberty Amendment.</w:t>
      </w:r>
      <w:r>
        <w:t xml:space="preserve">”</w:t>
      </w:r>
      <w:r>
        <w:t xml:space="preserve"> </w:t>
      </w:r>
      <w:r>
        <w:t xml:space="preserve">“</w:t>
      </w:r>
      <w:r>
        <w:t xml:space="preserve">Sweet reason doesn’t get it done</w:t>
      </w:r>
      <w:r>
        <w:t xml:space="preserve">”</w:t>
      </w:r>
      <w:r>
        <w:t xml:space="preserve">; legislators move under public pressure. To the campaign finance advocates he offered a different cure: cut federal spending, and the incentive to buy influence will shrink.</w:t>
      </w:r>
    </w:p>
    <w:p>
      <w:pPr>
        <w:pStyle w:val="BodyText"/>
      </w:pPr>
      <w:r>
        <w:t xml:space="preserve">Fieldman said WolfPAC lacks that funding and relies instead on education and organizing. He claimed that no peer-reviewed scholarship argues that a newly called, limited convention could propose an amendment on a different subject. Arguments to the contrary, he said, appear only in op-eds, letters, and testimony. WolfPAC has rebuilt its organizing on the model of Jane McAlevey’s</w:t>
      </w:r>
      <w:r>
        <w:t xml:space="preserve"> </w:t>
      </w:r>
      <w:r>
        <w:t xml:space="preserve">“</w:t>
      </w:r>
      <w:r>
        <w:t xml:space="preserve">organizing for power,</w:t>
      </w:r>
      <w:r>
        <w:t xml:space="preserve">”</w:t>
      </w:r>
      <w:r>
        <w:t xml:space="preserve"> </w:t>
      </w:r>
      <w:r>
        <w:t xml:space="preserve">and he cited Pauline Sabin, who built the movement to repeal Prohibition from fifty people to hundreds of thousands in a few years.</w:t>
      </w:r>
      <w:r>
        <w:rPr>
          <w:rStyle w:val="FootnoteReference"/>
        </w:rPr>
        <w:footnoteReference w:id="32"/>
      </w:r>
    </w:p>
    <w:p>
      <w:pPr>
        <w:pStyle w:val="BodyText"/>
      </w:pPr>
      <w:r>
        <w:t xml:space="preserve">Rubens described four stages at which a convention could engage the public. First, the application campaigns in state legislatures, which are far more accessible than Congress. Second, delegate selection, where he urged legislatures to</w:t>
      </w:r>
      <w:r>
        <w:t xml:space="preserve"> </w:t>
      </w:r>
      <w:r>
        <w:t xml:space="preserve">“</w:t>
      </w:r>
      <w:r>
        <w:t xml:space="preserve">push this process back down to the people</w:t>
      </w:r>
      <w:r>
        <w:t xml:space="preserve">”</w:t>
      </w:r>
      <w:r>
        <w:t xml:space="preserve"> </w:t>
      </w:r>
      <w:r>
        <w:t xml:space="preserve">and to choose, perhaps by election, delegates who have shown an ability to deliberate. Third, the convention itself, which could use modern deliberative tools such as deliberative polling and</w:t>
      </w:r>
      <w:r>
        <w:t xml:space="preserve"> </w:t>
      </w:r>
      <w:r>
        <w:t xml:space="preserve">“</w:t>
      </w:r>
      <w:r>
        <w:t xml:space="preserve">science courts.</w:t>
      </w:r>
      <w:r>
        <w:t xml:space="preserve">”</w:t>
      </w:r>
      <w:r>
        <w:t xml:space="preserve"> </w:t>
      </w:r>
      <w:r>
        <w:t xml:space="preserve">Fourth, ratification by state conventions rather than legislatures, a mode used once for an amendment, to repeal Prohibition, which he said brings the process</w:t>
      </w:r>
      <w:r>
        <w:t xml:space="preserve"> </w:t>
      </w:r>
      <w:r>
        <w:t xml:space="preserve">“</w:t>
      </w:r>
      <w:r>
        <w:t xml:space="preserve">as close as possible to a national referendum.</w:t>
      </w:r>
      <w:r>
        <w:t xml:space="preserve">”</w:t>
      </w:r>
      <w:r>
        <w:t xml:space="preserve"> </w:t>
      </w:r>
      <w:r>
        <w:t xml:space="preserve">He is developing these ideas in a forthcoming paper for the</w:t>
      </w:r>
      <w:r>
        <w:t xml:space="preserve"> </w:t>
      </w:r>
      <w:r>
        <w:rPr>
          <w:iCs/>
          <w:i/>
        </w:rPr>
        <w:t xml:space="preserve">Harvard Journal on Legislation</w:t>
      </w:r>
      <w:r>
        <w:t xml:space="preserve">.</w:t>
      </w:r>
    </w:p>
    <w:bookmarkEnd w:id="33"/>
    <w:bookmarkStart w:id="34" w:name="the-proposed-fiscal-amendment"/>
    <w:p>
      <w:pPr>
        <w:pStyle w:val="Heading2"/>
      </w:pPr>
      <w:r>
        <w:t xml:space="preserve">The proposed fiscal amendment</w:t>
      </w:r>
    </w:p>
    <w:p>
      <w:pPr>
        <w:pStyle w:val="FirstParagraph"/>
      </w:pPr>
      <w:r>
        <w:t xml:space="preserve">Walker said an annual balanced budget requirement makes no sense and would never be ratified. States that claim balanced budgets often balance only cash flows by skipping pension contributions or borrowing. He proposes a limit on debt held by the public as a share of the economy: a hard cap of about 120 percent, a target of about 90 percent by 2040, very limited exceptions, and automatic triggers and enforcement. Debt held by the public is now about 101 percent of GDP and heading toward 175 percent in thirty years, he said. The design is pro-growth because it lets the economy outgrow the debt, and it leaves the mix of spending cuts and revenue to Congress.</w:t>
      </w:r>
    </w:p>
    <w:bookmarkEnd w:id="34"/>
    <w:bookmarkStart w:id="35" w:name="is-this-the-right-issue"/>
    <w:p>
      <w:pPr>
        <w:pStyle w:val="Heading2"/>
      </w:pPr>
      <w:r>
        <w:t xml:space="preserve">Is this the right issue?</w:t>
      </w:r>
    </w:p>
    <w:p>
      <w:pPr>
        <w:pStyle w:val="FirstParagraph"/>
      </w:pPr>
      <w:r>
        <w:t xml:space="preserve">Charles asked whether the campaigns had chosen issues that would motivate the public, and whether they would trade their issue for any convention at all. Farris said a convention on any subject would help the country, and that a quick convention on fixing the Supreme Court at nine justices would prove the process safe, but he would not abandon fiscal reform for</w:t>
      </w:r>
      <w:r>
        <w:t xml:space="preserve"> </w:t>
      </w:r>
      <w:r>
        <w:t xml:space="preserve">“</w:t>
      </w:r>
      <w:r>
        <w:t xml:space="preserve">this side game.</w:t>
      </w:r>
      <w:r>
        <w:t xml:space="preserve">”</w:t>
      </w:r>
      <w:r>
        <w:t xml:space="preserve"> </w:t>
      </w:r>
      <w:r>
        <w:t xml:space="preserve">Walker said the main objection to a convention is the runaway fear, so</w:t>
      </w:r>
      <w:r>
        <w:t xml:space="preserve"> </w:t>
      </w:r>
      <w:r>
        <w:t xml:space="preserve">“</w:t>
      </w:r>
      <w:r>
        <w:t xml:space="preserve">you need one issue… to demonstrate that it won’t run away,</w:t>
      </w:r>
      <w:r>
        <w:t xml:space="preserve">”</w:t>
      </w:r>
      <w:r>
        <w:t xml:space="preserve"> </w:t>
      </w:r>
      <w:r>
        <w:t xml:space="preserve">and fiscal responsibility is the most important. Fieldman rejected the premise that the campaigns compete and said he would accept a convention even on an amendment he opposed, because anything ratified by 38 states would probably belong in the Constitution. Rubens cited polling showing support of 83 percent for term limits, 71 percent for limits on campaign money, and 70 percent for debt limits, each with majorities in both parties. If there is a sleeper issue, he said, it is making the Constitution easier to amend, but no organized campaign is behind it.</w:t>
      </w:r>
    </w:p>
    <w:bookmarkEnd w:id="35"/>
    <w:bookmarkStart w:id="36" w:name="litigation-and-counting"/>
    <w:p>
      <w:pPr>
        <w:pStyle w:val="Heading2"/>
      </w:pPr>
      <w:r>
        <w:t xml:space="preserve">Litigation and counting</w:t>
      </w:r>
    </w:p>
    <w:p>
      <w:pPr>
        <w:pStyle w:val="FirstParagraph"/>
      </w:pPr>
      <w:r>
        <w:t xml:space="preserve">Rubens added detail on the litigation strategy. By the foundation’s count, 39 states had valid applications in 1979 and 36 in 2016 and 2017. Two attorneys general had backed out, he said, after checking with</w:t>
      </w:r>
      <w:r>
        <w:t xml:space="preserve"> </w:t>
      </w:r>
      <w:r>
        <w:t xml:space="preserve">“</w:t>
      </w:r>
      <w:r>
        <w:t xml:space="preserve">the administration.</w:t>
      </w:r>
      <w:r>
        <w:t xml:space="preserve">”</w:t>
      </w:r>
      <w:r>
        <w:t xml:space="preserve"> </w:t>
      </w:r>
      <w:r>
        <w:t xml:space="preserve">Walker added that the administration had not said one way or the other. Rubens also described a quiet agreement among the Article V organizations, reached at a gathering in San Diego some years ago, not to criticize one another, and listed the movement’s recent steps: the National Federalism Commission’s confirmation of the counts, Arrington’s resolution, joint congressional testimony, a convention event with the American Enterprise Institute, the Commission’s draft convention rules, and a new interstate compact to reduce runaway risk.</w:t>
      </w:r>
    </w:p>
    <w:p>
      <w:pPr>
        <w:pStyle w:val="BodyText"/>
      </w:pPr>
      <w:r>
        <w:t xml:space="preserve">Farris broke the silence on one point. He said he does not support the lawsuit. If open applications could be aggregated with specific ones, he said, the count would already require four conventions, including one on abortion and one on reversing the one-person, one-vote rule for state senates.</w:t>
      </w:r>
    </w:p>
    <w:bookmarkEnd w:id="36"/>
    <w:bookmarkStart w:id="37" w:name="lessigs-question-a-grand-bargain"/>
    <w:p>
      <w:pPr>
        <w:pStyle w:val="Heading2"/>
      </w:pPr>
      <w:r>
        <w:t xml:space="preserve">Lessig’s question: a grand bargain</w:t>
      </w:r>
    </w:p>
    <w:p>
      <w:pPr>
        <w:pStyle w:val="FirstParagraph"/>
      </w:pPr>
      <w:r>
        <w:t xml:space="preserve">Lessig pressed the panel on its title. The campaigns had each described their own amendment, he said, but not a bargain. A substantive bargain could join fiscal responsibility with</w:t>
      </w:r>
      <w:r>
        <w:t xml:space="preserve"> </w:t>
      </w:r>
      <w:r>
        <w:t xml:space="preserve">“</w:t>
      </w:r>
      <w:r>
        <w:t xml:space="preserve">representational integrity,</w:t>
      </w:r>
      <w:r>
        <w:t xml:space="preserve">”</w:t>
      </w:r>
      <w:r>
        <w:t xml:space="preserve"> </w:t>
      </w:r>
      <w:r>
        <w:t xml:space="preserve">meaning term limits and an end to the corrupting influence of money in politics, all of which poll well. A procedural bargain could start from American Promise’s success: its resolutions to Congress could include a clause converting them into an Article V application if Congress fails to act, putting</w:t>
      </w:r>
      <w:r>
        <w:t xml:space="preserve"> </w:t>
      </w:r>
      <w:r>
        <w:t xml:space="preserve">“</w:t>
      </w:r>
      <w:r>
        <w:t xml:space="preserve">a gun to the head of Congress.</w:t>
      </w:r>
      <w:r>
        <w:t xml:space="preserve">”</w:t>
      </w:r>
    </w:p>
    <w:p>
      <w:pPr>
        <w:pStyle w:val="BodyText"/>
      </w:pPr>
      <w:r>
        <w:t xml:space="preserve">Walker answered that the public would support all three issues, but</w:t>
      </w:r>
      <w:r>
        <w:t xml:space="preserve"> </w:t>
      </w:r>
      <w:r>
        <w:t xml:space="preserve">“</w:t>
      </w:r>
      <w:r>
        <w:t xml:space="preserve">if you try to get more than one at a time, you’re kind of leading with your chin.</w:t>
      </w:r>
      <w:r>
        <w:t xml:space="preserve">”</w:t>
      </w:r>
      <w:r>
        <w:t xml:space="preserve"> </w:t>
      </w:r>
      <w:r>
        <w:t xml:space="preserve">Prove the concept with one convention first. Lessig agreed with proving the concept but questioned the order.</w:t>
      </w:r>
      <w:r>
        <w:t xml:space="preserve"> </w:t>
      </w:r>
      <w:r>
        <w:t xml:space="preserve">“</w:t>
      </w:r>
      <w:r>
        <w:t xml:space="preserve">Nobody in America is afraid that if there were term limits, the republic would fall,</w:t>
      </w:r>
      <w:r>
        <w:t xml:space="preserve">”</w:t>
      </w:r>
      <w:r>
        <w:t xml:space="preserve"> </w:t>
      </w:r>
      <w:r>
        <w:t xml:space="preserve">nor of reversing</w:t>
      </w:r>
      <w:r>
        <w:t xml:space="preserve"> </w:t>
      </w:r>
      <w:r>
        <w:rPr>
          <w:iCs/>
          <w:i/>
        </w:rPr>
        <w:t xml:space="preserve">Citizens United</w:t>
      </w:r>
      <w:r>
        <w:t xml:space="preserve">. Many people, including Lessig a decade ago, do fear what a fiscal amendment might do. Starting with the issues no one fears would build confidence. Walker did not accept the reordering. He pointed instead to a second kind of bargain: a statutory bipartisan fiscal commission, now pending in both houses, to make the hard choices any fiscal amendment would require.</w:t>
      </w:r>
    </w:p>
    <w:p>
      <w:pPr>
        <w:pStyle w:val="BodyText"/>
      </w:pPr>
      <w:r>
        <w:t xml:space="preserve">Farris offered a procedural bargain of his own. He urged all organizations to back a new interstate compact, promoted by the National Federalism Commission, under which member states agree that a convention votes one state, one vote, and cannot change its scope. He also suggested a cross-state deal: states favoring a fiscal convention and states favoring a WolfPAC convention could agree to pass each other’s applications.</w:t>
      </w:r>
      <w:r>
        <w:t xml:space="preserve"> </w:t>
      </w:r>
      <w:r>
        <w:t xml:space="preserve">“</w:t>
      </w:r>
      <w:r>
        <w:t xml:space="preserve">What do we lose by talking about it?</w:t>
      </w:r>
      <w:r>
        <w:t xml:space="preserve">”</w:t>
      </w:r>
    </w:p>
    <w:bookmarkEnd w:id="37"/>
    <w:bookmarkStart w:id="39" w:name="audience-questions"/>
    <w:p>
      <w:pPr>
        <w:pStyle w:val="Heading2"/>
      </w:pPr>
      <w:r>
        <w:t xml:space="preserve">Audience questions</w:t>
      </w:r>
    </w:p>
    <w:p>
      <w:pPr>
        <w:pStyle w:val="FirstParagraph"/>
      </w:pPr>
      <w:r>
        <w:t xml:space="preserve">A scholar proposed amending Article V first, both to make amendment easier and to let citizens initiate it. Another questioner noted that 17 states have passed</w:t>
      </w:r>
      <w:r>
        <w:t xml:space="preserve"> </w:t>
      </w:r>
      <w:r>
        <w:t xml:space="preserve">“</w:t>
      </w:r>
      <w:r>
        <w:t xml:space="preserve">faithful delegate</w:t>
      </w:r>
      <w:r>
        <w:t xml:space="preserve">”</w:t>
      </w:r>
      <w:r>
        <w:t xml:space="preserve"> </w:t>
      </w:r>
      <w:r>
        <w:t xml:space="preserve">laws allowing recall of delegates who exceed their instructions, and asked whether combining those laws with the compact in 26 states would answer the runaway fear. Fieldman and Farris thought it would help; Farris preferred the compact because it binds all member states. Walker supported a citizen-initiated route only if it did not bypass the convention and ratification steps. Another questioner recalled the 1962 proposals of the Council of State Governments, which included an amendment allowing states to propose amendments directly; Fieldman noted that critics such as Charles Black defended the convention process when that proposal seemed likely to pass, and turned against it when the reapportionment campaign took off.</w:t>
      </w:r>
      <w:r>
        <w:rPr>
          <w:rStyle w:val="FootnoteReference"/>
        </w:rPr>
        <w:footnoteReference w:id="38"/>
      </w:r>
    </w:p>
    <w:p>
      <w:pPr>
        <w:pStyle w:val="BodyText"/>
      </w:pPr>
      <w:r>
        <w:t xml:space="preserve">The sharpest question concerned money. A questioner said they could not find donor information for the groups on the panel, cited the Federal Fiscal Sustainability Foundation’s revenue and a single $100,000 gift from the Penland Foundation, said the Convention of States had $7.6 million in revenue with no donors identifiable, and noted that Farris had been paid substantial compensation by Alliance Defending Freedom, which the questioner called an anti-LGBTQ hate group. Fieldman pointed to WolfPAC’s donor page. Walker said his foundation complies with the law, is funded by its board and Penland’s gift, and has not needed to raise money. Farris did not respond on the funding point.</w:t>
      </w:r>
    </w:p>
    <w:p>
      <w:pPr>
        <w:pStyle w:val="BodyText"/>
      </w:pPr>
      <w:r>
        <w:t xml:space="preserve">Other questioners asked why gerrymandering was absent from the bargain (Walker said Congress can address it by statute), urged citizens’ assemblies chosen by lot, citing Hélène Landemore and Terry Bouricius, and asked how a numeric debt cap could be adjusted later. Walker said specific targets are necessary for enforcement. Farris said the Convention of States’ broad</w:t>
      </w:r>
      <w:r>
        <w:t xml:space="preserve"> </w:t>
      </w:r>
      <w:r>
        <w:t xml:space="preserve">“</w:t>
      </w:r>
      <w:r>
        <w:t xml:space="preserve">power and jurisdiction</w:t>
      </w:r>
      <w:r>
        <w:t xml:space="preserve">”</w:t>
      </w:r>
      <w:r>
        <w:t xml:space="preserve"> </w:t>
      </w:r>
      <w:r>
        <w:t xml:space="preserve">subject would let a convention address representation issues, and that the best path is an amendment that</w:t>
      </w:r>
      <w:r>
        <w:t xml:space="preserve"> </w:t>
      </w:r>
      <w:r>
        <w:t xml:space="preserve">“</w:t>
      </w:r>
      <w:r>
        <w:t xml:space="preserve">ratchets one way,</w:t>
      </w:r>
      <w:r>
        <w:t xml:space="preserve">”</w:t>
      </w:r>
      <w:r>
        <w:t xml:space="preserve"> </w:t>
      </w:r>
      <w:r>
        <w:t xml:space="preserve">against Washington’s power.</w:t>
      </w:r>
    </w:p>
    <w:bookmarkEnd w:id="39"/>
    <w:bookmarkEnd w:id="40"/>
    <w:bookmarkStart w:id="41" w:name="how-the-debate-stands-after-session-5"/>
    <w:p>
      <w:pPr>
        <w:pStyle w:val="Heading1"/>
      </w:pPr>
      <w:r>
        <w:t xml:space="preserve">How the debate stands after Session 5</w:t>
      </w:r>
    </w:p>
    <w:p>
      <w:pPr>
        <w:pStyle w:val="FirstParagraph"/>
      </w:pPr>
      <w:r>
        <w:t xml:space="preserve">The panel clarified what the pro-convention coalition shares and where it divides.</w:t>
      </w:r>
    </w:p>
    <w:p>
      <w:pPr>
        <w:pStyle w:val="BodyText"/>
      </w:pPr>
      <w:r>
        <w:t xml:space="preserve">What it shares is a diagnosis and a first step. Every campaign agreed that Congress has a conflict of interest on the amendments they want. Every campaign cited polling showing broad public support. And every campaign accepted that the movement’s first task is a</w:t>
      </w:r>
      <w:r>
        <w:t xml:space="preserve"> </w:t>
      </w:r>
      <w:r>
        <w:t xml:space="preserve">“</w:t>
      </w:r>
      <w:r>
        <w:t xml:space="preserve">proof of concept</w:t>
      </w:r>
      <w:r>
        <w:t xml:space="preserve">”</w:t>
      </w:r>
      <w:r>
        <w:t xml:space="preserve"> </w:t>
      </w:r>
      <w:r>
        <w:t xml:space="preserve">convention that stays on topic. Rubens described this as the real grand bargain: agreement on rules that defeat the runaway fear, then</w:t>
      </w:r>
      <w:r>
        <w:t xml:space="preserve"> </w:t>
      </w:r>
      <w:r>
        <w:t xml:space="preserve">“</w:t>
      </w:r>
      <w:r>
        <w:t xml:space="preserve">the floodgates will open.</w:t>
      </w:r>
      <w:r>
        <w:t xml:space="preserve">”</w:t>
      </w:r>
    </w:p>
    <w:p>
      <w:pPr>
        <w:pStyle w:val="BodyText"/>
      </w:pPr>
      <w:r>
        <w:t xml:space="preserve">Where it divides is order and method. Lessig’s suggestion to start with amendments no one fears was the most strategically interesting idea of the panel, because it aimed directly at the runaway fear. The fiscal campaigns, which are closest to 34 states, declined. That matters for the rest of the conference: if a first convention comes, it is likely to be a fiscal convention, called through legislatures and staffed by legislature-chosen delegates.</w:t>
      </w:r>
    </w:p>
    <w:p>
      <w:pPr>
        <w:pStyle w:val="BodyText"/>
      </w:pPr>
      <w:r>
        <w:t xml:space="preserve">The aggregation dispute is the second division, and it reaches beyond tactics. The litigation strategy depends on counting broad and old applications together with fiscal-only ones. The safety argument depends on the claim that applications define and limit the convention’s subject. The two arguments pull against each other, and Farris, the movement’s most experienced litigator, said so. Skeptics would press the point that afternoon.</w:t>
      </w:r>
    </w:p>
    <w:p>
      <w:pPr>
        <w:pStyle w:val="BodyText"/>
      </w:pPr>
      <w:r>
        <w:t xml:space="preserve">Finally, the funding exchange introduced the concern that would dominate the next panels. The case for a convention rests on the claim that Congress is captured by money and self-interest. That claim invites the question of who funds the convention campaigns and who would fund influence over the delegates.</w:t>
      </w:r>
    </w:p>
    <w:tbl>
      <w:tblPr>
        <w:tblStyle w:val="Table"/>
        <w:tblW w:type="pct" w:w="5000"/>
        <w:tblLook w:firstRow="1" w:lastRow="0" w:firstColumn="0" w:lastColumn="0" w:noHBand="0" w:noVBand="0" w:val="0020"/>
        <w:jc w:val="start"/>
      </w:tblPr>
      <w:tblGrid>
        <w:gridCol w:w="2112"/>
        <w:gridCol w:w="5808"/>
      </w:tblGrid>
      <w:tr>
        <w:trPr>
          <w:tblHeader w:val="true"/>
        </w:trPr>
        <w:tc>
          <w:tcPr/>
          <w:p>
            <w:pPr>
              <w:pStyle w:val="Compact"/>
              <w:jc w:val="left"/>
            </w:pPr>
            <w:r>
              <w:t xml:space="preserve">Question</w:t>
            </w:r>
          </w:p>
        </w:tc>
        <w:tc>
          <w:tcPr/>
          <w:p>
            <w:pPr>
              <w:pStyle w:val="Compact"/>
              <w:jc w:val="left"/>
            </w:pPr>
            <w:r>
              <w:t xml:space="preserve">Where it stands after Session 5</w:t>
            </w:r>
          </w:p>
        </w:tc>
      </w:tr>
      <w:tr>
        <w:tc>
          <w:tcPr/>
          <w:p>
            <w:pPr>
              <w:pStyle w:val="Compact"/>
              <w:jc w:val="left"/>
            </w:pPr>
            <w:r>
              <w:t xml:space="preserve">Is a convention a legitimate American tool?</w:t>
            </w:r>
          </w:p>
        </w:tc>
        <w:tc>
          <w:tcPr/>
          <w:p>
            <w:pPr>
              <w:pStyle w:val="Compact"/>
              <w:jc w:val="left"/>
            </w:pPr>
            <w:r>
              <w:t xml:space="preserve">The campaigns agreed it exists for amendments Congress will not propose. Rubens cast it as a means of civic healing.</w:t>
            </w:r>
          </w:p>
        </w:tc>
      </w:tr>
      <w:tr>
        <w:tc>
          <w:tcPr/>
          <w:p>
            <w:pPr>
              <w:pStyle w:val="Compact"/>
              <w:jc w:val="left"/>
            </w:pPr>
            <w:r>
              <w:t xml:space="preserve">Can a convention be held to its subject?</w:t>
            </w:r>
          </w:p>
        </w:tc>
        <w:tc>
          <w:tcPr/>
          <w:p>
            <w:pPr>
              <w:pStyle w:val="Compact"/>
              <w:jc w:val="left"/>
            </w:pPr>
            <w:r>
              <w:t xml:space="preserve">Proponents now offer three layers: subject-limited applications, faithful delegate laws (17 states), and a proposed interstate compact fixing one state, one vote and the scope. Fieldman claimed no peer-reviewed work says a limited call can be exceeded.</w:t>
            </w:r>
          </w:p>
        </w:tc>
      </w:tr>
      <w:tr>
        <w:tc>
          <w:tcPr/>
          <w:p>
            <w:pPr>
              <w:pStyle w:val="Compact"/>
              <w:jc w:val="left"/>
            </w:pPr>
            <w:r>
              <w:t xml:space="preserve">When have 34 states applied?</w:t>
            </w:r>
          </w:p>
        </w:tc>
        <w:tc>
          <w:tcPr/>
          <w:p>
            <w:pPr>
              <w:pStyle w:val="Compact"/>
              <w:jc w:val="left"/>
            </w:pPr>
            <w:r>
              <w:t xml:space="preserve">Newly contested. Walker and Rubens count plenary and fiscal applications together to find 34 in 1979 and 2016 to 2017. Farris rejects aggregation. Litigation is sought but no attorney general has filed.</w:t>
            </w:r>
          </w:p>
        </w:tc>
      </w:tr>
      <w:tr>
        <w:tc>
          <w:tcPr/>
          <w:p>
            <w:pPr>
              <w:pStyle w:val="Compact"/>
              <w:jc w:val="left"/>
            </w:pPr>
            <w:r>
              <w:t xml:space="preserve">Who would serve, and how would they be chosen?</w:t>
            </w:r>
          </w:p>
        </w:tc>
        <w:tc>
          <w:tcPr/>
          <w:p>
            <w:pPr>
              <w:pStyle w:val="Compact"/>
              <w:jc w:val="left"/>
            </w:pPr>
            <w:r>
              <w:t xml:space="preserve">Rubens urged legislatures to involve the public, perhaps through elections. Audience members pressed for sortition. No campaign committed to it.</w:t>
            </w:r>
          </w:p>
        </w:tc>
      </w:tr>
      <w:tr>
        <w:tc>
          <w:tcPr/>
          <w:p>
            <w:pPr>
              <w:pStyle w:val="Compact"/>
              <w:jc w:val="left"/>
            </w:pPr>
            <w:r>
              <w:t xml:space="preserve">What should a first convention address?</w:t>
            </w:r>
          </w:p>
        </w:tc>
        <w:tc>
          <w:tcPr/>
          <w:p>
            <w:pPr>
              <w:pStyle w:val="Compact"/>
              <w:jc w:val="left"/>
            </w:pPr>
            <w:r>
              <w:t xml:space="preserve">Unresolved. Fiscal campaigns want fiscal first as proof of concept. Lessig proposed starting with term limits or money in politics, which no one fears.</w:t>
            </w:r>
          </w:p>
        </w:tc>
      </w:tr>
      <w:tr>
        <w:tc>
          <w:tcPr/>
          <w:p>
            <w:pPr>
              <w:pStyle w:val="Compact"/>
              <w:jc w:val="left"/>
            </w:pPr>
            <w:r>
              <w:t xml:space="preserve">Could the campaigns unite?</w:t>
            </w:r>
          </w:p>
        </w:tc>
        <w:tc>
          <w:tcPr/>
          <w:p>
            <w:pPr>
              <w:pStyle w:val="Compact"/>
              <w:jc w:val="left"/>
            </w:pPr>
            <w:r>
              <w:t xml:space="preserve">Only procedurally: a shared interest in rules and a proof-of-concept convention. A substantive bargain did not emerge.</w:t>
            </w:r>
          </w:p>
        </w:tc>
      </w:tr>
      <w:tr>
        <w:tc>
          <w:tcPr/>
          <w:p>
            <w:pPr>
              <w:pStyle w:val="Compact"/>
              <w:jc w:val="left"/>
            </w:pPr>
            <w:r>
              <w:t xml:space="preserve">Who funds the campaigns, and could money capture a convention?</w:t>
            </w:r>
          </w:p>
        </w:tc>
        <w:tc>
          <w:tcPr/>
          <w:p>
            <w:pPr>
              <w:pStyle w:val="Compact"/>
              <w:jc w:val="left"/>
            </w:pPr>
            <w:r>
              <w:t xml:space="preserve">First raised sharply from the floor. Answers were partial.</w:t>
            </w:r>
          </w:p>
        </w:tc>
      </w:tr>
      <w:tr>
        <w:tc>
          <w:tcPr/>
          <w:p>
            <w:pPr>
              <w:pStyle w:val="Compact"/>
              <w:jc w:val="left"/>
            </w:pPr>
            <w:r>
              <w:t xml:space="preserve">Is ratification by 38 states a sufficient safeguard?</w:t>
            </w:r>
          </w:p>
        </w:tc>
        <w:tc>
          <w:tcPr/>
          <w:p>
            <w:pPr>
              <w:pStyle w:val="Compact"/>
              <w:jc w:val="left"/>
            </w:pPr>
            <w:r>
              <w:t xml:space="preserve">Assumed by all panelists. Rubens and Walker prefer ratification by state conventions to bring the decision closer to the people.</w:t>
            </w:r>
          </w:p>
        </w:tc>
      </w:tr>
    </w:tbl>
    <w:bookmarkEnd w:id="41"/>
    <w:sectPr/>
    <w:sectPr>
      <w:footerReference w:type="default" r:id="rIdFtr1"/>
      <w:pgSz w:w="12240" w:h="15840"/>
      <w:pgMar w:top="1440" w:right="1440" w:bottom="1440" w:left="1440" w:header="720" w:footer="60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rPr>
        <w:sz w:val="17"/>
        <w:color w:val="777777"/>
      </w:rPr>
      <w:t xml:space="preserve">V the People Conference Summaries  ·  </w:t>
    </w:r>
    <w:r>
      <w:rPr>
        <w:sz w:val="17"/>
        <w:color w:val="777777"/>
      </w:rPr>
      <w:fldChar w:fldCharType="begin"/>
    </w:r>
    <w:r>
      <w:rPr>
        <w:sz w:val="17"/>
        <w:color w:val="777777"/>
      </w:rPr>
      <w:instrText xml:space="preserve"> PAGE </w:instrText>
    </w:r>
    <w:r>
      <w:rPr>
        <w:sz w:val="17"/>
        <w:color w:val="777777"/>
      </w:rPr>
      <w:fldChar w:fldCharType="separate"/>
    </w:r>
    <w:r>
      <w:rPr>
        <w:sz w:val="17"/>
        <w:color w:val="777777"/>
      </w:rPr>
      <w:t>1</w:t>
    </w:r>
    <w:r>
      <w:rPr>
        <w:sz w:val="17"/>
        <w:color w:val="77777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This summary is based on the automated transcript of the session. Transcript, Panel II, The Grand Bargain: Substantive Amendment Proposals, V the People Conference, Harvard Law School (Oct. 3, 2026) (on file with the conference organizers). Quotations are lightly corrected for obvious transcription errors, and names are corrected against the conference roster. Organizational claims, application counts, polling figures, and allegations about other organizations are the speakers’ own and were not independently verified for this summary.</w:t>
      </w:r>
    </w:p>
  </w:footnote>
  <w:footnote w:id="22">
    <w:p>
      <w:pPr>
        <w:pStyle w:val="FootnoteText"/>
      </w:pPr>
      <w:r>
        <w:rPr>
          <w:rStyle w:val="FootnoteReference"/>
        </w:rPr>
        <w:footnoteRef/>
      </w:r>
      <w:r>
        <w:t xml:space="preserve"> </w:t>
      </w:r>
      <w:r>
        <w:t xml:space="preserve">Citizens United v. FEC, 558 U.S. 310 (2010).</w:t>
      </w:r>
    </w:p>
  </w:footnote>
  <w:footnote w:id="23">
    <w:p>
      <w:pPr>
        <w:pStyle w:val="FootnoteText"/>
      </w:pPr>
      <w:r>
        <w:rPr>
          <w:rStyle w:val="FootnoteReference"/>
        </w:rPr>
        <w:footnoteRef/>
      </w:r>
      <w:r>
        <w:t xml:space="preserve"> </w:t>
      </w:r>
      <w:r>
        <w:rPr>
          <w:iCs/>
          <w:i/>
        </w:rPr>
        <w:t xml:space="preserve">See</w:t>
      </w:r>
      <w:r>
        <w:t xml:space="preserve"> </w:t>
      </w:r>
      <w:r>
        <w:t xml:space="preserve">V the People,</w:t>
      </w:r>
      <w:r>
        <w:t xml:space="preserve"> </w:t>
      </w:r>
      <w:r>
        <w:rPr>
          <w:iCs/>
          <w:i/>
        </w:rPr>
        <w:t xml:space="preserve">Glossary</w:t>
      </w:r>
      <w:r>
        <w:t xml:space="preserve">, https://vthepeople.org/glossary.html (last visited Oct. 19, 2026) (defining</w:t>
      </w:r>
      <w:r>
        <w:t xml:space="preserve"> </w:t>
      </w:r>
      <w:r>
        <w:t xml:space="preserve">“</w:t>
      </w:r>
      <w:r>
        <w:t xml:space="preserve">plenary convention,</w:t>
      </w:r>
      <w:r>
        <w:t xml:space="preserve">”</w:t>
      </w:r>
      <w:r>
        <w:t xml:space="preserve"> </w:t>
      </w:r>
      <w:r>
        <w:t xml:space="preserve">“</w:t>
      </w:r>
      <w:r>
        <w:t xml:space="preserve">issue congruency,</w:t>
      </w:r>
      <w:r>
        <w:t xml:space="preserve">”</w:t>
      </w:r>
      <w:r>
        <w:t xml:space="preserve"> </w:t>
      </w:r>
      <w:r>
        <w:t xml:space="preserve">“</w:t>
      </w:r>
      <w:r>
        <w:t xml:space="preserve">contemporaneity,</w:t>
      </w:r>
      <w:r>
        <w:t xml:space="preserve">”</w:t>
      </w:r>
      <w:r>
        <w:t xml:space="preserve"> </w:t>
      </w:r>
      <w:r>
        <w:t xml:space="preserve">and</w:t>
      </w:r>
      <w:r>
        <w:t xml:space="preserve"> </w:t>
      </w:r>
      <w:r>
        <w:t xml:space="preserve">“</w:t>
      </w:r>
      <w:r>
        <w:t xml:space="preserve">rescission</w:t>
      </w:r>
      <w:r>
        <w:t xml:space="preserve">”</w:t>
      </w:r>
      <w:r>
        <w:t xml:space="preserve">).</w:t>
      </w:r>
    </w:p>
  </w:footnote>
  <w:footnote w:id="26">
    <w:p>
      <w:pPr>
        <w:pStyle w:val="FootnoteText"/>
      </w:pPr>
      <w:r>
        <w:rPr>
          <w:rStyle w:val="FootnoteReference"/>
        </w:rPr>
        <w:footnoteRef/>
      </w:r>
      <w:r>
        <w:t xml:space="preserve"> </w:t>
      </w:r>
      <w:r>
        <w:rPr>
          <w:iCs/>
          <w:i/>
        </w:rPr>
        <w:t xml:space="preserve">See, e.g.</w:t>
      </w:r>
      <w:r>
        <w:t xml:space="preserve">, Percoco v. United States, 598 U.S. 319 (2023); Ciminelli v. United States, 598 U.S. 306 (2023).</w:t>
      </w:r>
    </w:p>
  </w:footnote>
  <w:footnote w:id="29">
    <w:p>
      <w:pPr>
        <w:pStyle w:val="FootnoteText"/>
      </w:pPr>
      <w:r>
        <w:rPr>
          <w:rStyle w:val="FootnoteReference"/>
        </w:rPr>
        <w:footnoteRef/>
      </w:r>
      <w:r>
        <w:t xml:space="preserve"> </w:t>
      </w:r>
      <w:r>
        <w:t xml:space="preserve">H.R. Con. Res. 15, 119th Cong. (2025). As introduced, the resolution would call a convention for a fiscal responsibility amendment unless the Clerk of the House reported within 60 days that 34 qualifying applications had never been received. It also provides for ratification by</w:t>
      </w:r>
      <w:r>
        <w:t xml:space="preserve"> </w:t>
      </w:r>
      <w:r>
        <w:t xml:space="preserve">“</w:t>
      </w:r>
      <w:r>
        <w:t xml:space="preserve">a vote of We the People</w:t>
      </w:r>
      <w:r>
        <w:t xml:space="preserve">”</w:t>
      </w:r>
      <w:r>
        <w:t xml:space="preserve"> </w:t>
      </w:r>
      <w:r>
        <w:t xml:space="preserve">through state conventions.</w:t>
      </w:r>
      <w:r>
        <w:t xml:space="preserve"> </w:t>
      </w:r>
      <w:r>
        <w:rPr>
          <w:iCs/>
          <w:i/>
        </w:rPr>
        <w:t xml:space="preserve">Id.</w:t>
      </w:r>
      <w:r>
        <w:t xml:space="preserve"> </w:t>
      </w:r>
      <w:r>
        <w:t xml:space="preserve">§ 1. The National Federalism Commission’s explanation of its count, dated September 17, 2025, is posted at https://cdn.nfcommission.gov/2025/09/NFC-Congr-Article-V-Analysis-EXPLANATION-DOC-v9A.pdf. It treats the threshold as met from February 1979 to March 2004 and again from April 2016 to August 2017, and acknowledges that scholars disagree about aggregating plenary applications.</w:t>
      </w:r>
    </w:p>
  </w:footnote>
  <w:footnote w:id="32">
    <w:p>
      <w:pPr>
        <w:pStyle w:val="FootnoteText"/>
      </w:pPr>
      <w:r>
        <w:rPr>
          <w:rStyle w:val="FootnoteReference"/>
        </w:rPr>
        <w:footnoteRef/>
      </w:r>
      <w:r>
        <w:t xml:space="preserve"> </w:t>
      </w:r>
      <w:r>
        <w:t xml:space="preserve">Jane McAlevey, No Shortcuts: Organizing for Power in the New Gilded Age (2016).</w:t>
      </w:r>
    </w:p>
  </w:footnote>
  <w:footnote w:id="38">
    <w:p>
      <w:pPr>
        <w:pStyle w:val="FootnoteText"/>
      </w:pPr>
      <w:r>
        <w:rPr>
          <w:rStyle w:val="FootnoteReference"/>
        </w:rPr>
        <w:footnoteRef/>
      </w:r>
      <w:r>
        <w:t xml:space="preserve"> </w:t>
      </w:r>
      <w:r>
        <w:rPr>
          <w:iCs/>
          <w:i/>
        </w:rPr>
        <w:t xml:space="preserve">See</w:t>
      </w:r>
      <w:r>
        <w:t xml:space="preserve"> </w:t>
      </w:r>
      <w:r>
        <w:t xml:space="preserve">Charles L. Black, Jr.,</w:t>
      </w:r>
      <w:r>
        <w:t xml:space="preserve"> </w:t>
      </w:r>
      <w:r>
        <w:rPr>
          <w:iCs/>
          <w:i/>
        </w:rPr>
        <w:t xml:space="preserve">The Proposed Amendment of Article V: A Threatened Disaster</w:t>
      </w:r>
      <w:r>
        <w:t xml:space="preserve">, 72 Yale L.J. 957 (1963).</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line="276" w:lineRule="auto"/>
    </w:pPr>
    <w:rPr>
      <w:rFonts w:ascii="Georgia" w:cs="Georgia" w:eastAsia="Georgia" w:hAnsi="Georgia"/>
      <w:color w:val="222222"/>
      <w:sz w:val="22"/>
      <w:szCs w:val="22"/>
    </w:rPr>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40" w:before="40" w:line="252" w:lineRule="auto"/>
    </w:pPr>
    <w:rPr>
      <w:sz w:val="19"/>
      <w:szCs w:val="19"/>
    </w:rPr>
  </w:style>
  <w:style w:styleId="Title" w:type="paragraph">
    <w:name w:val="Title"/>
    <w:basedOn w:val="Normal"/>
    <w:next w:val="BodyText"/>
    <w:qFormat/>
    <w:pPr>
      <w:keepNext/>
      <w:keepLines/>
      <w:spacing w:after="80" w:before="0"/>
    </w:pPr>
    <w:rPr>
      <w:rFonts w:ascii="Georgia" w:cs="Georgia" w:eastAsia="Georgia" w:hAnsi="Georgia"/>
      <w:b/>
      <w:color w:val="1F3A5F"/>
      <w:sz w:val="40"/>
      <w:szCs w:val="40"/>
    </w:rPr>
  </w:style>
  <w:style w:styleId="Subtitle" w:type="paragraph">
    <w:name w:val="Subtitle"/>
    <w:basedOn w:val="Normal"/>
    <w:next w:val="BodyText"/>
    <w:qFormat/>
    <w:pPr>
      <w:keepNext/>
      <w:spacing w:after="240" w:before="0"/>
      <w:pBdr>
        <w:bottom w:color="1F3A5F" w:space="8" w:sz="6" w:val="single"/>
      </w:pBdr>
    </w:pPr>
    <w:rPr>
      <w:rFonts w:ascii="Georgia" w:cs="Georgia" w:eastAsia="Georgia" w:hAnsi="Georgia"/>
      <w:i/>
      <w:color w:val="555555"/>
      <w:sz w:val="22"/>
      <w:szCs w:val="22"/>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Georgia" w:cs="Georgia" w:eastAsia="Georgia" w:hAnsi="Georgia"/>
      <w:b/>
      <w:color w:val="1F3A5F"/>
      <w:sz w:val="28"/>
      <w:szCs w:val="28"/>
    </w:rPr>
  </w:style>
  <w:style w:styleId="Heading2" w:type="paragraph">
    <w:name w:val="heading 2"/>
    <w:basedOn w:val="Normal"/>
    <w:next w:val="BodyText"/>
    <w:uiPriority w:val="9"/>
    <w:unhideWhenUsed/>
    <w:qFormat/>
    <w:pPr>
      <w:keepNext/>
      <w:keepLines/>
      <w:spacing w:after="80" w:before="240"/>
      <w:outlineLvl w:val="1"/>
    </w:pPr>
    <w:rPr>
      <w:rFonts w:ascii="Georgia" w:cs="Georgia" w:eastAsia="Georgia" w:hAnsi="Georgia"/>
      <w:b/>
      <w:i/>
      <w:color w:val="1F3A5F"/>
      <w:sz w:val="23"/>
      <w:szCs w:val="23"/>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pPr>
      <w:spacing w:after="60" w:line="240" w:lineRule="auto"/>
    </w:pPr>
    <w:rPr>
      <w:sz w:val="18"/>
      <w:szCs w:val="18"/>
    </w:r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1F3A5F" w:space="0" w:sz="6" w:val="single"/>
        <w:bottom w:color="1F3A5F" w:space="0" w:sz="6" w:val="single"/>
        <w:insideH w:color="C8CED6" w:space="0" w:sz="4" w:val="single"/>
      </w:tblBorders>
      <w:tblCellMar>
        <w:top w:type="dxa" w:w="60"/>
        <w:left w:type="dxa" w:w="100"/>
        <w:bottom w:type="dxa" w:w="60"/>
        <w:right w:type="dxa" w:w="100"/>
      </w:tblCellMar>
    </w:tblPr>
    <w:tblStylePr w:type="firstRow">
      <w:rPr>
        <w:b/>
        <w:color w:val="1F3A5F"/>
      </w:rPr>
      <w:tblPr/>
      <w:tcPr>
        <w:shd w:color="auto" w:fill="EEF2F6"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Ftr1" Type="http://schemas.openxmlformats.org/officeDocument/2006/relationships/footer" Target="footer1.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5: Panel II, The Grand Bargain: Substantive Amendment Proposals</dc:title>
  <dc:creator/>
  <cp:keywords/>
  <dcterms:created xsi:type="dcterms:W3CDTF">2026-10-19T14:17:03Z</dcterms:created>
  <dcterms:modified xsi:type="dcterms:W3CDTF">2026-10-19T14:17:03Z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 the People Conference on an Article V Convention · Harvard Law School · Saturday, October 3, 2026</vt:lpwstr>
  </property>
</Properties>
</file>