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Session</w:t>
      </w:r>
      <w:r>
        <w:t xml:space="preserve"> </w:t>
      </w:r>
      <w:r>
        <w:t xml:space="preserve">4:</w:t>
      </w:r>
      <w:r>
        <w:t xml:space="preserve"> </w:t>
      </w:r>
      <w:r>
        <w:t xml:space="preserve">Coffee</w:t>
      </w:r>
      <w:r>
        <w:t xml:space="preserve"> </w:t>
      </w:r>
      <w:r>
        <w:t xml:space="preserve">and</w:t>
      </w:r>
      <w:r>
        <w:t xml:space="preserve"> </w:t>
      </w:r>
      <w:r>
        <w:t xml:space="preserve">Conversation</w:t>
      </w:r>
      <w:r>
        <w:t xml:space="preserve"> </w:t>
      </w:r>
      <w:r>
        <w:t xml:space="preserve">with</w:t>
      </w:r>
      <w:r>
        <w:t xml:space="preserve"> </w:t>
      </w:r>
      <w:r>
        <w:t xml:space="preserve">David</w:t>
      </w:r>
      <w:r>
        <w:t xml:space="preserve"> </w:t>
      </w:r>
      <w:r>
        <w:t xml:space="preserve">Walker</w:t>
      </w:r>
    </w:p>
    <w:p>
      <w:pPr>
        <w:pStyle w:val="Subtitle"/>
      </w:pPr>
      <w:r>
        <w:t xml:space="preserve">V</w:t>
      </w:r>
      <w:r>
        <w:t xml:space="preserve"> </w:t>
      </w:r>
      <w:r>
        <w:t xml:space="preserve">the</w:t>
      </w:r>
      <w:r>
        <w:t xml:space="preserve"> </w:t>
      </w:r>
      <w:r>
        <w:t xml:space="preserve">People</w:t>
      </w:r>
      <w:r>
        <w:t xml:space="preserve"> </w:t>
      </w:r>
      <w:r>
        <w:t xml:space="preserve">Conference</w:t>
      </w:r>
      <w:r>
        <w:t xml:space="preserve"> </w:t>
      </w:r>
      <w:r>
        <w:t xml:space="preserve">on</w:t>
      </w:r>
      <w:r>
        <w:t xml:space="preserve"> </w:t>
      </w:r>
      <w:r>
        <w:t xml:space="preserve">an</w:t>
      </w:r>
      <w:r>
        <w:t xml:space="preserve"> </w:t>
      </w:r>
      <w:r>
        <w:t xml:space="preserve">Article</w:t>
      </w:r>
      <w:r>
        <w:t xml:space="preserve"> </w:t>
      </w:r>
      <w:r>
        <w:t xml:space="preserve">V</w:t>
      </w:r>
      <w:r>
        <w:t xml:space="preserve"> </w:t>
      </w:r>
      <w:r>
        <w:t xml:space="preserve">Convention</w:t>
      </w:r>
      <w:r>
        <w:t xml:space="preserve"> </w:t>
      </w:r>
      <w:r>
        <w:t xml:space="preserve">·</w:t>
      </w:r>
      <w:r>
        <w:t xml:space="preserve"> </w:t>
      </w:r>
      <w:r>
        <w:t xml:space="preserve">Harvard</w:t>
      </w:r>
      <w:r>
        <w:t xml:space="preserve"> </w:t>
      </w:r>
      <w:r>
        <w:t xml:space="preserve">Law</w:t>
      </w:r>
      <w:r>
        <w:t xml:space="preserve"> </w:t>
      </w:r>
      <w:r>
        <w:t xml:space="preserve">School</w:t>
      </w:r>
      <w:r>
        <w:t xml:space="preserve"> </w:t>
      </w:r>
      <w:r>
        <w:t xml:space="preserve">·</w:t>
      </w:r>
      <w:r>
        <w:t xml:space="preserve"> </w:t>
      </w:r>
      <w:r>
        <w:t xml:space="preserve">Saturday,</w:t>
      </w:r>
      <w:r>
        <w:t xml:space="preserve"> </w:t>
      </w:r>
      <w:r>
        <w:t xml:space="preserve">October</w:t>
      </w:r>
      <w:r>
        <w:t xml:space="preserve"> </w:t>
      </w:r>
      <w:r>
        <w:t xml:space="preserve">3,</w:t>
      </w:r>
      <w:r>
        <w:t xml:space="preserve"> </w:t>
      </w:r>
      <w:r>
        <w:t xml:space="preserve">2026</w:t>
      </w:r>
    </w:p>
    <w:tbl>
      <w:tblPr>
        <w:tblStyle w:val="Table"/>
        <w:tblW w:type="pct" w:w="5000"/>
        <w:tblLook w:firstRow="0" w:lastRow="0" w:firstColumn="0" w:lastColumn="0" w:noHBand="0" w:noVBand="0" w:val="0000"/>
        <w:jc w:val="start"/>
      </w:tblPr>
      <w:tblGrid>
        <w:gridCol w:w="2066"/>
        <w:gridCol w:w="5853"/>
      </w:tblGrid>
      <w:tr>
        <w:tc>
          <w:tcPr/>
          <w:p>
            <w:pPr>
              <w:pStyle w:val="Compact"/>
              <w:jc w:val="left"/>
            </w:pPr>
            <w:r>
              <w:t xml:space="preserve">Program slot</w:t>
            </w:r>
          </w:p>
        </w:tc>
        <w:tc>
          <w:tcPr/>
          <w:p>
            <w:pPr>
              <w:pStyle w:val="Compact"/>
              <w:jc w:val="left"/>
            </w:pPr>
            <w:r>
              <w:t xml:space="preserve">10:35 a.m.</w:t>
            </w:r>
          </w:p>
        </w:tc>
      </w:tr>
      <w:tr>
        <w:tc>
          <w:tcPr/>
          <w:p>
            <w:pPr>
              <w:pStyle w:val="Compact"/>
              <w:jc w:val="left"/>
            </w:pPr>
            <w:r>
              <w:t xml:space="preserve">Participants</w:t>
            </w:r>
          </w:p>
        </w:tc>
        <w:tc>
          <w:tcPr/>
          <w:p>
            <w:pPr>
              <w:pStyle w:val="Compact"/>
              <w:jc w:val="left"/>
            </w:pPr>
            <w:r>
              <w:t xml:space="preserve">David Walker, former Comptroller General of the United States, interviewed by Lawrence Lessig. Joe Penland, Sr., founder of Quality Mat Company and a sponsor of the conference, was scheduled but could not attend.</w:t>
            </w:r>
          </w:p>
        </w:tc>
      </w:tr>
      <w:tr>
        <w:tc>
          <w:tcPr/>
          <w:p>
            <w:pPr>
              <w:pStyle w:val="Compact"/>
              <w:jc w:val="left"/>
            </w:pPr>
            <w:r>
              <w:t xml:space="preserve">Recording</w:t>
            </w:r>
          </w:p>
        </w:tc>
        <w:tc>
          <w:tcPr/>
          <w:p>
            <w:pPr>
              <w:pStyle w:val="Compact"/>
              <w:jc w:val="left"/>
            </w:pPr>
            <w:r>
              <w:t xml:space="preserve">About 19 minutes</w:t>
            </w:r>
          </w:p>
        </w:tc>
      </w:tr>
    </w:tbl>
    <w:bookmarkStart w:id="21" w:name="in-brief"/>
    <w:p>
      <w:pPr>
        <w:pStyle w:val="Heading1"/>
      </w:pPr>
      <w:r>
        <w:t xml:space="preserve">In brief</w:t>
      </w:r>
    </w:p>
    <w:p>
      <w:pPr>
        <w:pStyle w:val="FirstParagraph"/>
      </w:pPr>
      <w:r>
        <w:t xml:space="preserve">This short interview moved the conference from history to the movement on the ground. David Walker leads one of several campaigns for a fiscal responsibility amendment, the cause closest to the 34-state threshold. He argued that federal finances are heading toward a crisis Congress will not prevent, that ordinary voters handle hard fiscal choices well when given facts and time to deliberate, and that the risks of a convention are smaller than the risks of doing nothing. Lessig drew out the link between Walker’s citizen forums and the citizens’ assemblies he had proposed that morning, and pressed Walker on how he weighs convention risk. Walker’s answer previewed the proponents’ standard safeguards: applications limited to one subject, state control of delegates under</w:t>
      </w:r>
      <w:r>
        <w:t xml:space="preserve"> </w:t>
      </w:r>
      <w:r>
        <w:rPr>
          <w:iCs/>
          <w:i/>
        </w:rPr>
        <w:t xml:space="preserve">Chiafalo</w:t>
      </w:r>
      <w:r>
        <w:t xml:space="preserve">, and ratification by 38 states.</w:t>
      </w:r>
      <w:r>
        <w:rPr>
          <w:rStyle w:val="FootnoteReference"/>
        </w:rPr>
        <w:footnoteReference w:id="20"/>
      </w:r>
    </w:p>
    <w:bookmarkEnd w:id="21"/>
    <w:bookmarkStart w:id="22" w:name="context"/>
    <w:p>
      <w:pPr>
        <w:pStyle w:val="Heading1"/>
      </w:pPr>
      <w:r>
        <w:t xml:space="preserve">Context</w:t>
      </w:r>
    </w:p>
    <w:p>
      <w:pPr>
        <w:pStyle w:val="FirstParagraph"/>
      </w:pPr>
      <w:r>
        <w:t xml:space="preserve">Fiscal responsibility, usually framed as a balanced budget amendment, has driven the largest Article V campaigns since the 1970s. Lepore reported the night before that 28 states had applied by 1979 and 32 by 1982. Several organizations now pursue it, with different strategies and different amendment texts. Walker chairs the Federal Fiscal Sustainability Foundation, which argues that Congress is already obliged to call a convention. He said there are now 28 states with applications limited to fiscal responsibility. The next session, the</w:t>
      </w:r>
      <w:r>
        <w:t xml:space="preserve"> </w:t>
      </w:r>
      <w:r>
        <w:t xml:space="preserve">“</w:t>
      </w:r>
      <w:r>
        <w:t xml:space="preserve">Grand Bargain</w:t>
      </w:r>
      <w:r>
        <w:t xml:space="preserve">”</w:t>
      </w:r>
      <w:r>
        <w:t xml:space="preserve"> </w:t>
      </w:r>
      <w:r>
        <w:t xml:space="preserve">panel, returned to these campaigns in detail.</w:t>
      </w:r>
    </w:p>
    <w:bookmarkEnd w:id="22"/>
    <w:bookmarkStart w:id="27" w:name="the-conversation"/>
    <w:p>
      <w:pPr>
        <w:pStyle w:val="Heading1"/>
      </w:pPr>
      <w:r>
        <w:t xml:space="preserve">The conversation</w:t>
      </w:r>
    </w:p>
    <w:bookmarkStart w:id="23" w:name="penland-and-the-fiscal-stakes"/>
    <w:p>
      <w:pPr>
        <w:pStyle w:val="Heading2"/>
      </w:pPr>
      <w:r>
        <w:t xml:space="preserve">Penland and the fiscal stakes</w:t>
      </w:r>
    </w:p>
    <w:p>
      <w:pPr>
        <w:pStyle w:val="FirstParagraph"/>
      </w:pPr>
      <w:r>
        <w:t xml:space="preserve">Walker began with Joe Penland, a co-author of his new book and a major sponsor of the conference. Penland grew up poor in Texas, depended on Social Security’s disability and survivors’ benefits, became wealthy through patents on industrial mats, and now cares most about saving Social Security.</w:t>
      </w:r>
    </w:p>
    <w:p>
      <w:pPr>
        <w:pStyle w:val="BodyText"/>
      </w:pPr>
      <w:r>
        <w:t xml:space="preserve">Walker, a former trustee of Social Security and Medicare, said the Social Security trust fund will be exhausted in 2032, which without action means an across-the-board benefit cut of 22 to 28 percent. That, he said,</w:t>
      </w:r>
      <w:r>
        <w:t xml:space="preserve"> </w:t>
      </w:r>
      <w:r>
        <w:t xml:space="preserve">“</w:t>
      </w:r>
      <w:r>
        <w:t xml:space="preserve">must not happen.</w:t>
      </w:r>
      <w:r>
        <w:t xml:space="preserve">”</w:t>
      </w:r>
      <w:r>
        <w:t xml:space="preserve"> </w:t>
      </w:r>
      <w:r>
        <w:t xml:space="preserve">The larger problem is federal finances. The debt has grown from under $1 trillion in 1979 to over $40 trillion; counting total liabilities and unfunded obligations, he put the figure at $147 trillion.</w:t>
      </w:r>
      <w:r>
        <w:t xml:space="preserve"> </w:t>
      </w:r>
      <w:r>
        <w:t xml:space="preserve">“</w:t>
      </w:r>
      <w:r>
        <w:t xml:space="preserve">Congress has totally lost control of finances.</w:t>
      </w:r>
      <w:r>
        <w:t xml:space="preserve">”</w:t>
      </w:r>
    </w:p>
    <w:bookmarkEnd w:id="23"/>
    <w:bookmarkStart w:id="24" w:name="the-peoples-plan"/>
    <w:p>
      <w:pPr>
        <w:pStyle w:val="Heading2"/>
      </w:pPr>
      <w:r>
        <w:t xml:space="preserve">The people’s plan</w:t>
      </w:r>
    </w:p>
    <w:p>
      <w:pPr>
        <w:pStyle w:val="FirstParagraph"/>
      </w:pPr>
      <w:r>
        <w:t xml:space="preserve">Walker’s book presents what he calls</w:t>
      </w:r>
      <w:r>
        <w:t xml:space="preserve"> </w:t>
      </w:r>
      <w:r>
        <w:t xml:space="preserve">“</w:t>
      </w:r>
      <w:r>
        <w:t xml:space="preserve">the people’s plan.</w:t>
      </w:r>
      <w:r>
        <w:t xml:space="preserve">”</w:t>
      </w:r>
      <w:r>
        <w:t xml:space="preserve"> </w:t>
      </w:r>
      <w:r>
        <w:t xml:space="preserve">It draws on his citizen education work in 47 states and on forums he ran with the late Alice Rivlin, former director of the Congressional Budget Office and the Office of Management and Budget. Representative groups of voters in swing states and districts considered specific reforms to budget controls, Social Security, health care, defense, taxes, and political institutions. Support for the reforms ran from 77 to 97 percent, and results in the northern and southern forums differed by no more than two percentage points.</w:t>
      </w:r>
      <w:r>
        <w:t xml:space="preserve"> </w:t>
      </w:r>
      <w:r>
        <w:t xml:space="preserve">“</w:t>
      </w:r>
      <w:r>
        <w:t xml:space="preserve">The people can handle the truth.</w:t>
      </w:r>
      <w:r>
        <w:t xml:space="preserve">”</w:t>
      </w:r>
    </w:p>
    <w:p>
      <w:pPr>
        <w:pStyle w:val="BodyText"/>
      </w:pPr>
      <w:r>
        <w:t xml:space="preserve">Lessig called this a citizens’-assembly-like process: representative participants, given information and time to deliberate, reaching overwhelming consensus. Walker agreed.</w:t>
      </w:r>
      <w:r>
        <w:t xml:space="preserve"> </w:t>
      </w:r>
      <w:r>
        <w:t xml:space="preserve">“</w:t>
      </w:r>
      <w:r>
        <w:t xml:space="preserve">The biggest deficit this country has in Washington is not a budget deficit,</w:t>
      </w:r>
      <w:r>
        <w:t xml:space="preserve">”</w:t>
      </w:r>
      <w:r>
        <w:t xml:space="preserve"> </w:t>
      </w:r>
      <w:r>
        <w:t xml:space="preserve">he said, but a republic that is neither representative of nor responsive to the public. He argued that the founders gave the states the convention route for issues on which Congress has a conflict of interest, naming fiscal responsibility, term limits, and campaign finance. He said he has met with congressional leaders of both parties and that they have</w:t>
      </w:r>
      <w:r>
        <w:t xml:space="preserve"> </w:t>
      </w:r>
      <w:r>
        <w:t xml:space="preserve">“</w:t>
      </w:r>
      <w:r>
        <w:t xml:space="preserve">no intention whatsoever</w:t>
      </w:r>
      <w:r>
        <w:t xml:space="preserve">”</w:t>
      </w:r>
      <w:r>
        <w:t xml:space="preserve"> </w:t>
      </w:r>
      <w:r>
        <w:t xml:space="preserve">of proposing amendments on any of them.</w:t>
      </w:r>
    </w:p>
    <w:bookmarkEnd w:id="24"/>
    <w:bookmarkStart w:id="25" w:name="strategy"/>
    <w:p>
      <w:pPr>
        <w:pStyle w:val="Heading2"/>
      </w:pPr>
      <w:r>
        <w:t xml:space="preserve">Strategy</w:t>
      </w:r>
    </w:p>
    <w:p>
      <w:pPr>
        <w:pStyle w:val="FirstParagraph"/>
      </w:pPr>
      <w:r>
        <w:t xml:space="preserve">His goals are to</w:t>
      </w:r>
      <w:r>
        <w:t xml:space="preserve"> </w:t>
      </w:r>
      <w:r>
        <w:t xml:space="preserve">“</w:t>
      </w:r>
      <w:r>
        <w:t xml:space="preserve">educate, engage, and activate.</w:t>
      </w:r>
      <w:r>
        <w:t xml:space="preserve">”</w:t>
      </w:r>
      <w:r>
        <w:t xml:space="preserve"> </w:t>
      </w:r>
      <w:r>
        <w:t xml:space="preserve">He wants the debt to be a major issue in 2028. He argued that Social Security reform is the easiest of the problems, since young people wrongly expect nothing and older people wrongly fear betrayal; a phased reform would leave everyone better off than they expect. The harder issues are tax reform, which he said must raise more revenue as a share of the economy, and health care, on which the country spends about 50 percent more of its economy than other industrialized nations for below-average results.</w:t>
      </w:r>
    </w:p>
    <w:p>
      <w:pPr>
        <w:pStyle w:val="BodyText"/>
      </w:pPr>
      <w:r>
        <w:t xml:space="preserve">He also wants a statutory fiscal commission that engages the public before Congress votes. He described the flaws of the 2010 Simpson-Bowles commission: it was created by executive order rather than statute, so no vote was guaranteed; it required an unusually high level of agreement among members; it did no public engagement; and its leaders put their names on it. Lessig noted the order Walker prefers: start with representative citizens and let their conclusions pressure representatives, rather than start with expert commissions. Walker and Penland are launching a nonprofit, to be called We the People and announced in December, to run a campaign of documentaries, citizen deliberation, and social media.</w:t>
      </w:r>
    </w:p>
    <w:bookmarkEnd w:id="25"/>
    <w:bookmarkStart w:id="26" w:name="weighing-the-risk"/>
    <w:p>
      <w:pPr>
        <w:pStyle w:val="Heading2"/>
      </w:pPr>
      <w:r>
        <w:t xml:space="preserve">Weighing the risk</w:t>
      </w:r>
    </w:p>
    <w:p>
      <w:pPr>
        <w:pStyle w:val="FirstParagraph"/>
      </w:pPr>
      <w:r>
        <w:t xml:space="preserve">Lessig asked Walker to acknowledge that a convention carries risk and to say why he accepts it. Walker first insisted on terms:</w:t>
      </w:r>
      <w:r>
        <w:t xml:space="preserve"> </w:t>
      </w:r>
      <w:r>
        <w:t xml:space="preserve">“</w:t>
      </w:r>
      <w:r>
        <w:t xml:space="preserve">we’re not talking about a constitutional convention. We’re talking about an Article Five amendments convention.</w:t>
      </w:r>
      <w:r>
        <w:t xml:space="preserve">”</w:t>
      </w:r>
      <w:r>
        <w:t xml:space="preserve"> </w:t>
      </w:r>
      <w:r>
        <w:t xml:space="preserve">He described 1913, when the income tax and direct election of senators were added and the Federal Reserve was created, as a turning point. Since then, he said, the federal government has grown from about 2.5 percent of the economy to nearly 25 percent, and the share of spending Congress controls through annual appropriations has fallen from 97 percent to about 25 percent.</w:t>
      </w:r>
    </w:p>
    <w:p>
      <w:pPr>
        <w:pStyle w:val="BodyText"/>
      </w:pPr>
      <w:r>
        <w:t xml:space="preserve">Pressed again, he agreed the question is comparative. The risk of doing nothing</w:t>
      </w:r>
      <w:r>
        <w:t xml:space="preserve"> </w:t>
      </w:r>
      <w:r>
        <w:t xml:space="preserve">“</w:t>
      </w:r>
      <w:r>
        <w:t xml:space="preserve">could be cataclysmic</w:t>
      </w:r>
      <w:r>
        <w:t xml:space="preserve">”</w:t>
      </w:r>
      <w:r>
        <w:t xml:space="preserve">: a failed Treasury auction, a global depression, emboldened adversaries, and domestic unrest, possibly before 2032. Against that, he set out the safeguards he relies on. A majority of states have applications limited to fiscal responsibility. Under</w:t>
      </w:r>
      <w:r>
        <w:t xml:space="preserve"> </w:t>
      </w:r>
      <w:r>
        <w:rPr>
          <w:iCs/>
          <w:i/>
        </w:rPr>
        <w:t xml:space="preserve">Chiafalo</w:t>
      </w:r>
      <w:r>
        <w:t xml:space="preserve">, states may control their delegates. Every past convention of states gave each state equal representation. And any proposal must be ratified by 38 states.</w:t>
      </w:r>
      <w:r>
        <w:t xml:space="preserve"> </w:t>
      </w:r>
      <w:r>
        <w:t xml:space="preserve">“</w:t>
      </w:r>
      <w:r>
        <w:t xml:space="preserve">There ain’t no way in heck you’re going to get anything radical ratified by 38 states.</w:t>
      </w:r>
      <w:r>
        <w:t xml:space="preserve">”</w:t>
      </w:r>
    </w:p>
    <w:bookmarkEnd w:id="26"/>
    <w:bookmarkEnd w:id="27"/>
    <w:bookmarkStart w:id="28" w:name="how-the-debate-stands-after-session-4"/>
    <w:p>
      <w:pPr>
        <w:pStyle w:val="Heading1"/>
      </w:pPr>
      <w:r>
        <w:t xml:space="preserve">How the debate stands after Session 4</w:t>
      </w:r>
    </w:p>
    <w:p>
      <w:pPr>
        <w:pStyle w:val="FirstParagraph"/>
      </w:pPr>
      <w:r>
        <w:t xml:space="preserve">Walker’s interview added the strongest version of the proponents’ risk argument: the danger of a convention must be weighed against the danger of inaction, and on fiscal policy he sees the second as far larger. It also added evidence relevant to Lessig’s proposal. Walker’s forums are a working example of representative citizens reaching broad agreement on hard, technical questions. That cuts against Lepore’s worry that the deliberative muscle has atrophied, at least for small, well-run groups.</w:t>
      </w:r>
    </w:p>
    <w:p>
      <w:pPr>
        <w:pStyle w:val="BodyText"/>
      </w:pPr>
      <w:r>
        <w:t xml:space="preserve">The interview also showed where the proponents’ safeguards come from and how much they share. Walker’s list, applications limited to one subject, state binding of delegates, equal state voting, and 38-state ratification, is the list skeptics would attack in the afternoon. Two of those features are worth watching. Equal state voting is presented as a safeguard; skeptics would present it as a distortion, since it gives Wyoming the same weight as California. And the claim that 28 states have fiscal-only applications sits alongside Walker’s other claim, developed in the next session, that Congress was already obliged to call a convention in 1979 by counting other kinds of applications. Those two positions do not fit together easily.</w:t>
      </w:r>
    </w:p>
    <w:tbl>
      <w:tblPr>
        <w:tblStyle w:val="Table"/>
        <w:tblW w:type="pct" w:w="5000"/>
        <w:tblLook w:firstRow="1" w:lastRow="0" w:firstColumn="0" w:lastColumn="0" w:noHBand="0" w:noVBand="0" w:val="0020"/>
        <w:jc w:val="start"/>
      </w:tblPr>
      <w:tblGrid>
        <w:gridCol w:w="2112"/>
        <w:gridCol w:w="5808"/>
      </w:tblGrid>
      <w:tr>
        <w:trPr>
          <w:tblHeader w:val="true"/>
        </w:trPr>
        <w:tc>
          <w:tcPr/>
          <w:p>
            <w:pPr>
              <w:pStyle w:val="Compact"/>
              <w:jc w:val="left"/>
            </w:pPr>
            <w:r>
              <w:t xml:space="preserve">Question</w:t>
            </w:r>
          </w:p>
        </w:tc>
        <w:tc>
          <w:tcPr/>
          <w:p>
            <w:pPr>
              <w:pStyle w:val="Compact"/>
              <w:jc w:val="left"/>
            </w:pPr>
            <w:r>
              <w:t xml:space="preserve">Where it stands after Session 4</w:t>
            </w:r>
          </w:p>
        </w:tc>
      </w:tr>
      <w:tr>
        <w:tc>
          <w:tcPr/>
          <w:p>
            <w:pPr>
              <w:pStyle w:val="Compact"/>
              <w:jc w:val="left"/>
            </w:pPr>
            <w:r>
              <w:t xml:space="preserve">Is a convention a legitimate American tool?</w:t>
            </w:r>
          </w:p>
        </w:tc>
        <w:tc>
          <w:tcPr/>
          <w:p>
            <w:pPr>
              <w:pStyle w:val="Compact"/>
              <w:jc w:val="left"/>
            </w:pPr>
            <w:r>
              <w:t xml:space="preserve">Walker: yes, for issues on which Congress has a conflict of interest, naming fiscal responsibility, term limits, and campaign finance.</w:t>
            </w:r>
          </w:p>
        </w:tc>
      </w:tr>
      <w:tr>
        <w:tc>
          <w:tcPr/>
          <w:p>
            <w:pPr>
              <w:pStyle w:val="Compact"/>
              <w:jc w:val="left"/>
            </w:pPr>
            <w:r>
              <w:t xml:space="preserve">Can a convention be held to its subject?</w:t>
            </w:r>
          </w:p>
        </w:tc>
        <w:tc>
          <w:tcPr/>
          <w:p>
            <w:pPr>
              <w:pStyle w:val="Compact"/>
              <w:jc w:val="left"/>
            </w:pPr>
            <w:r>
              <w:t xml:space="preserve">Walker relied on fiscal-only applications in a majority of states and on state control of delegates.</w:t>
            </w:r>
          </w:p>
        </w:tc>
      </w:tr>
      <w:tr>
        <w:tc>
          <w:tcPr/>
          <w:p>
            <w:pPr>
              <w:pStyle w:val="Compact"/>
              <w:jc w:val="left"/>
            </w:pPr>
            <w:r>
              <w:t xml:space="preserve">Who would serve, and how would they be chosen?</w:t>
            </w:r>
          </w:p>
        </w:tc>
        <w:tc>
          <w:tcPr/>
          <w:p>
            <w:pPr>
              <w:pStyle w:val="Compact"/>
              <w:jc w:val="left"/>
            </w:pPr>
            <w:r>
              <w:t xml:space="preserve">Still assumed to be state legislatures. Walker endorsed representative citizen forums for policy, not for delegate selection.</w:t>
            </w:r>
          </w:p>
        </w:tc>
      </w:tr>
      <w:tr>
        <w:tc>
          <w:tcPr/>
          <w:p>
            <w:pPr>
              <w:pStyle w:val="Compact"/>
              <w:jc w:val="left"/>
            </w:pPr>
            <w:r>
              <w:t xml:space="preserve">How would delegates be held to their mandate?</w:t>
            </w:r>
          </w:p>
        </w:tc>
        <w:tc>
          <w:tcPr/>
          <w:p>
            <w:pPr>
              <w:pStyle w:val="Compact"/>
              <w:jc w:val="left"/>
            </w:pPr>
            <w:r>
              <w:rPr>
                <w:iCs/>
                <w:i/>
              </w:rPr>
              <w:t xml:space="preserve">Chiafalo</w:t>
            </w:r>
            <w:r>
              <w:t xml:space="preserve">, as Lessig argued in Session 2.</w:t>
            </w:r>
          </w:p>
        </w:tc>
      </w:tr>
      <w:tr>
        <w:tc>
          <w:tcPr/>
          <w:p>
            <w:pPr>
              <w:pStyle w:val="Compact"/>
              <w:jc w:val="left"/>
            </w:pPr>
            <w:r>
              <w:t xml:space="preserve">Is ratification by 38 states a sufficient safeguard?</w:t>
            </w:r>
          </w:p>
        </w:tc>
        <w:tc>
          <w:tcPr/>
          <w:p>
            <w:pPr>
              <w:pStyle w:val="Compact"/>
              <w:jc w:val="left"/>
            </w:pPr>
            <w:r>
              <w:t xml:space="preserve">Walker: decisively, given the political makeup of the states.</w:t>
            </w:r>
          </w:p>
        </w:tc>
      </w:tr>
      <w:tr>
        <w:tc>
          <w:tcPr/>
          <w:p>
            <w:pPr>
              <w:pStyle w:val="Compact"/>
              <w:jc w:val="left"/>
            </w:pPr>
            <w:r>
              <w:t xml:space="preserve">How should convention voting be apportioned?</w:t>
            </w:r>
          </w:p>
        </w:tc>
        <w:tc>
          <w:tcPr/>
          <w:p>
            <w:pPr>
              <w:pStyle w:val="Compact"/>
              <w:jc w:val="left"/>
            </w:pPr>
            <w:r>
              <w:t xml:space="preserve">First raised: Walker cited equal state representation at past conventions of states as a safeguard.</w:t>
            </w:r>
          </w:p>
        </w:tc>
      </w:tr>
      <w:tr>
        <w:tc>
          <w:tcPr/>
          <w:p>
            <w:pPr>
              <w:pStyle w:val="Compact"/>
              <w:jc w:val="left"/>
            </w:pPr>
            <w:r>
              <w:t xml:space="preserve">How should risk be weighed?</w:t>
            </w:r>
          </w:p>
        </w:tc>
        <w:tc>
          <w:tcPr/>
          <w:p>
            <w:pPr>
              <w:pStyle w:val="Compact"/>
              <w:jc w:val="left"/>
            </w:pPr>
            <w:r>
              <w:t xml:space="preserve">Walker framed it as comparative: a convention’s risks against a fiscal crisis he called potentially cataclysmic.</w:t>
            </w:r>
          </w:p>
        </w:tc>
      </w:tr>
      <w:tr>
        <w:tc>
          <w:tcPr/>
          <w:p>
            <w:pPr>
              <w:pStyle w:val="Compact"/>
              <w:jc w:val="left"/>
            </w:pPr>
            <w:r>
              <w:t xml:space="preserve">Can Americans deliberate well enough?</w:t>
            </w:r>
          </w:p>
        </w:tc>
        <w:tc>
          <w:tcPr/>
          <w:p>
            <w:pPr>
              <w:pStyle w:val="Compact"/>
              <w:jc w:val="left"/>
            </w:pPr>
            <w:r>
              <w:t xml:space="preserve">Walker’s forums with Alice Rivlin reported 77 to 97 percent support for specific reforms among representative voters.</w:t>
            </w:r>
          </w:p>
        </w:tc>
      </w:tr>
    </w:tbl>
    <w:bookmarkEnd w:id="28"/>
    <w:sectPr/>
    <w:sectPr>
      <w:footerReference w:type="default" r:id="rIdFtr1"/>
      <w:pgSz w:w="12240" w:h="15840"/>
      <w:pgMar w:top="1440" w:right="1440" w:bottom="1440" w:left="1440" w:header="720" w:footer="600" w:gutter="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w="http://schemas.openxmlformats.org/wordprocessingml/2006/main" xmlns:r="http://schemas.openxmlformats.org/officeDocument/2006/relationships">
  <w:p>
    <w:pPr>
      <w:jc w:val="center"/>
    </w:pPr>
    <w:r>
      <w:rPr>
        <w:sz w:val="17"/>
        <w:color w:val="777777"/>
      </w:rPr>
      <w:t xml:space="preserve">V the People Conference Summaries  ·  </w:t>
    </w:r>
    <w:r>
      <w:rPr>
        <w:sz w:val="17"/>
        <w:color w:val="777777"/>
      </w:rPr>
      <w:fldChar w:fldCharType="begin"/>
    </w:r>
    <w:r>
      <w:rPr>
        <w:sz w:val="17"/>
        <w:color w:val="777777"/>
      </w:rPr>
      <w:instrText xml:space="preserve"> PAGE </w:instrText>
    </w:r>
    <w:r>
      <w:rPr>
        <w:sz w:val="17"/>
        <w:color w:val="777777"/>
      </w:rPr>
      <w:fldChar w:fldCharType="separate"/>
    </w:r>
    <w:r>
      <w:rPr>
        <w:sz w:val="17"/>
        <w:color w:val="777777"/>
      </w:rPr>
      <w:t>1</w:t>
    </w:r>
    <w:r>
      <w:rPr>
        <w:sz w:val="17"/>
        <w:color w:val="777777"/>
      </w:rP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20">
    <w:p>
      <w:pPr>
        <w:pStyle w:val="FootnoteText"/>
      </w:pPr>
      <w:r>
        <w:rPr>
          <w:rStyle w:val="FootnoteReference"/>
        </w:rPr>
        <w:footnoteRef/>
      </w:r>
      <w:r>
        <w:t xml:space="preserve"> </w:t>
      </w:r>
      <w:r>
        <w:t xml:space="preserve">This summary is based on the automated transcript of the session. Transcript, Coffee and Conversation with David Walker and Lawrence Lessig, V the People Conference, Harvard Law School (Oct. 3, 2026) (on file with the conference organizers). The program listed Joe Penland, Sr., as a participant; he did not attend. V the People,</w:t>
      </w:r>
      <w:r>
        <w:t xml:space="preserve"> </w:t>
      </w:r>
      <w:r>
        <w:rPr>
          <w:iCs/>
          <w:i/>
        </w:rPr>
        <w:t xml:space="preserve">Schedule</w:t>
      </w:r>
      <w:r>
        <w:t xml:space="preserve">, https://vthepeople.org/schedule.html (last visited Oct. 19, 2026). Walker’s figures on Social Security, the debt, and federal spending are his own and were not independently checked for this summary.</w:t>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0" w:line="276" w:lineRule="auto"/>
    </w:pPr>
    <w:rPr>
      <w:rFonts w:ascii="Georgia" w:cs="Georgia" w:eastAsia="Georgia" w:hAnsi="Georgia"/>
      <w:color w:val="222222"/>
      <w:sz w:val="22"/>
      <w:szCs w:val="22"/>
    </w:rPr>
  </w:style>
  <w:style w:styleId="BodyText" w:type="paragraph">
    <w:name w:val="Body Text"/>
    <w:basedOn w:val="Normal"/>
    <w:link w:val="BodyTextChar"/>
    <w:qFormat/>
    <w:pPr>
      <w:spacing w:after="160" w:before="0" w:line="288" w:lineRule="auto"/>
    </w:pPr>
  </w:style>
  <w:style w:customStyle="1" w:styleId="FirstParagraph" w:type="paragraph">
    <w:name w:val="First Paragraph"/>
    <w:basedOn w:val="BodyText"/>
    <w:next w:val="BodyText"/>
    <w:qFormat/>
  </w:style>
  <w:style w:customStyle="1" w:styleId="Compact" w:type="paragraph">
    <w:name w:val="Compact"/>
    <w:basedOn w:val="BodyText"/>
    <w:qFormat/>
    <w:pPr>
      <w:spacing w:after="40" w:before="40" w:line="252" w:lineRule="auto"/>
    </w:pPr>
    <w:rPr>
      <w:sz w:val="19"/>
      <w:szCs w:val="19"/>
    </w:rPr>
  </w:style>
  <w:style w:styleId="Title" w:type="paragraph">
    <w:name w:val="Title"/>
    <w:basedOn w:val="Normal"/>
    <w:next w:val="BodyText"/>
    <w:qFormat/>
    <w:pPr>
      <w:keepNext/>
      <w:keepLines/>
      <w:spacing w:after="80" w:before="0"/>
    </w:pPr>
    <w:rPr>
      <w:rFonts w:ascii="Georgia" w:cs="Georgia" w:eastAsia="Georgia" w:hAnsi="Georgia"/>
      <w:b/>
      <w:color w:val="1F3A5F"/>
      <w:sz w:val="40"/>
      <w:szCs w:val="40"/>
    </w:rPr>
  </w:style>
  <w:style w:styleId="Subtitle" w:type="paragraph">
    <w:name w:val="Subtitle"/>
    <w:basedOn w:val="Normal"/>
    <w:next w:val="BodyText"/>
    <w:qFormat/>
    <w:pPr>
      <w:keepNext/>
      <w:spacing w:after="240" w:before="0"/>
      <w:pBdr>
        <w:bottom w:color="1F3A5F" w:space="8" w:sz="6" w:val="single"/>
      </w:pBdr>
    </w:pPr>
    <w:rPr>
      <w:rFonts w:ascii="Georgia" w:cs="Georgia" w:eastAsia="Georgia" w:hAnsi="Georgia"/>
      <w:i/>
      <w:color w:val="555555"/>
      <w:sz w:val="22"/>
      <w:szCs w:val="22"/>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120" w:before="320"/>
      <w:outlineLvl w:val="0"/>
    </w:pPr>
    <w:rPr>
      <w:rFonts w:ascii="Georgia" w:cs="Georgia" w:eastAsia="Georgia" w:hAnsi="Georgia"/>
      <w:b/>
      <w:color w:val="1F3A5F"/>
      <w:sz w:val="28"/>
      <w:szCs w:val="28"/>
    </w:rPr>
  </w:style>
  <w:style w:styleId="Heading2" w:type="paragraph">
    <w:name w:val="heading 2"/>
    <w:basedOn w:val="Normal"/>
    <w:next w:val="BodyText"/>
    <w:uiPriority w:val="9"/>
    <w:unhideWhenUsed/>
    <w:qFormat/>
    <w:pPr>
      <w:keepNext/>
      <w:keepLines/>
      <w:spacing w:after="80" w:before="240"/>
      <w:outlineLvl w:val="1"/>
    </w:pPr>
    <w:rPr>
      <w:rFonts w:ascii="Georgia" w:cs="Georgia" w:eastAsia="Georgia" w:hAnsi="Georgia"/>
      <w:b/>
      <w:i/>
      <w:color w:val="1F3A5F"/>
      <w:sz w:val="23"/>
      <w:szCs w:val="23"/>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pPr>
      <w:spacing w:after="60" w:line="240" w:lineRule="auto"/>
    </w:pPr>
    <w:rPr>
      <w:sz w:val="18"/>
      <w:szCs w:val="18"/>
    </w:rPr>
  </w:style>
  <w:style w:default="1" w:styleId="DefaultParagraphFont" w:type="character">
    <w:name w:val="Default Paragraph Font"/>
    <w:semiHidden/>
    <w:unhideWhenUsed/>
  </w:style>
  <w:style w:default="1" w:styleId="Table" w:type="table">
    <w:name w:val="Table"/>
    <w:basedOn w:val="TableNormal"/>
    <w:qFormat/>
    <w:tblPr>
      <w:tblInd w:type="dxa" w:w="0"/>
      <w:tblBorders>
        <w:top w:color="1F3A5F" w:space="0" w:sz="6" w:val="single"/>
        <w:bottom w:color="1F3A5F" w:space="0" w:sz="6" w:val="single"/>
        <w:insideH w:color="C8CED6" w:space="0" w:sz="4" w:val="single"/>
      </w:tblBorders>
      <w:tblCellMar>
        <w:top w:type="dxa" w:w="60"/>
        <w:left w:type="dxa" w:w="100"/>
        <w:bottom w:type="dxa" w:w="60"/>
        <w:right w:type="dxa" w:w="100"/>
      </w:tblCellMar>
    </w:tblPr>
    <w:tblStylePr w:type="firstRow">
      <w:rPr>
        <w:b/>
        <w:color w:val="1F3A5F"/>
      </w:rPr>
      <w:tblPr/>
      <w:tcPr>
        <w:shd w:color="auto" w:fill="EEF2F6"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Ftr1" Type="http://schemas.openxmlformats.org/officeDocument/2006/relationships/footer" Target="footer1.xml"/></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Session 4: Coffee and Conversation with David Walker</dc:title>
  <dc:creator/>
  <cp:keywords/>
  <dcterms:created xsi:type="dcterms:W3CDTF">2026-10-19T14:17:03Z</dcterms:created>
  <dcterms:modified xsi:type="dcterms:W3CDTF">2026-10-19T14:17:03Z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V the People Conference on an Article V Convention · Harvard Law School · Saturday, October 3, 2026</vt:lpwstr>
  </property>
</Properties>
</file>