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3:</w:t>
      </w:r>
      <w:r>
        <w:t xml:space="preserve"> </w:t>
      </w:r>
      <w:r>
        <w:t xml:space="preserve">Panel</w:t>
      </w:r>
      <w:r>
        <w:t xml:space="preserve"> </w:t>
      </w:r>
      <w:r>
        <w:t xml:space="preserve">I,</w:t>
      </w:r>
      <w:r>
        <w:t xml:space="preserve"> </w:t>
      </w:r>
      <w:r>
        <w:t xml:space="preserve">Origins:</w:t>
      </w:r>
      <w:r>
        <w:t xml:space="preserve"> </w:t>
      </w:r>
      <w:r>
        <w:t xml:space="preserve">The</w:t>
      </w:r>
      <w:r>
        <w:t xml:space="preserve"> </w:t>
      </w:r>
      <w:r>
        <w:t xml:space="preserve">History</w:t>
      </w:r>
      <w:r>
        <w:t xml:space="preserve"> </w:t>
      </w:r>
      <w:r>
        <w:t xml:space="preserve">and</w:t>
      </w:r>
      <w:r>
        <w:t xml:space="preserve"> </w:t>
      </w:r>
      <w:r>
        <w:t xml:space="preserve">Traditions</w:t>
      </w:r>
      <w:r>
        <w:t xml:space="preserve"> </w:t>
      </w:r>
      <w:r>
        <w:t xml:space="preserve">of</w:t>
      </w:r>
      <w:r>
        <w:t xml:space="preserve"> </w:t>
      </w:r>
      <w:r>
        <w:t xml:space="preserve">Article</w:t>
      </w:r>
      <w:r>
        <w:t xml:space="preserve"> </w:t>
      </w:r>
      <w:r>
        <w:t xml:space="preserve">V</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9:30 a.m.</w:t>
            </w:r>
          </w:p>
        </w:tc>
      </w:tr>
      <w:tr>
        <w:tc>
          <w:tcPr/>
          <w:p>
            <w:pPr>
              <w:pStyle w:val="Compact"/>
              <w:jc w:val="left"/>
            </w:pPr>
            <w:r>
              <w:t xml:space="preserve">Panelists</w:t>
            </w:r>
          </w:p>
        </w:tc>
        <w:tc>
          <w:tcPr/>
          <w:p>
            <w:pPr>
              <w:pStyle w:val="Compact"/>
              <w:jc w:val="left"/>
            </w:pPr>
            <w:r>
              <w:t xml:space="preserve">Farah Peterson, Professor of Law, University of Chicago Law School. Michael Rappaport, Darling Foundation Professor of Law, University of San Diego School of Law. Sanford Levinson, Garwood Centennial Chair in Law, University of Texas at Austin.</w:t>
            </w:r>
          </w:p>
        </w:tc>
      </w:tr>
      <w:tr>
        <w:tc>
          <w:tcPr/>
          <w:p>
            <w:pPr>
              <w:pStyle w:val="Compact"/>
              <w:jc w:val="left"/>
            </w:pPr>
            <w:r>
              <w:t xml:space="preserve">Moderator</w:t>
            </w:r>
          </w:p>
        </w:tc>
        <w:tc>
          <w:tcPr/>
          <w:p>
            <w:pPr>
              <w:pStyle w:val="Compact"/>
              <w:jc w:val="left"/>
            </w:pPr>
            <w:r>
              <w:t xml:space="preserve">Richard Re, Professor of Law, Harvard Law School</w:t>
            </w:r>
          </w:p>
        </w:tc>
      </w:tr>
      <w:tr>
        <w:tc>
          <w:tcPr/>
          <w:p>
            <w:pPr>
              <w:pStyle w:val="Compact"/>
              <w:jc w:val="left"/>
            </w:pPr>
            <w:r>
              <w:t xml:space="preserve">Recording</w:t>
            </w:r>
          </w:p>
        </w:tc>
        <w:tc>
          <w:tcPr/>
          <w:p>
            <w:pPr>
              <w:pStyle w:val="Compact"/>
              <w:jc w:val="left"/>
            </w:pPr>
            <w:r>
              <w:t xml:space="preserve">About 61 minutes</w:t>
            </w:r>
          </w:p>
        </w:tc>
      </w:tr>
    </w:tbl>
    <w:bookmarkStart w:id="21" w:name="in-brief"/>
    <w:p>
      <w:pPr>
        <w:pStyle w:val="Heading1"/>
      </w:pPr>
      <w:r>
        <w:t xml:space="preserve">In brief</w:t>
      </w:r>
    </w:p>
    <w:p>
      <w:pPr>
        <w:pStyle w:val="FirstParagraph"/>
      </w:pPr>
      <w:r>
        <w:t xml:space="preserve">The history panel produced the day’s most useful clarification. All three historians and lawyers agreed that the 1787 Convention acted outside the legal rules of the Articles of Confederation, whatever one thinks of Farris’s defense of the delegates. They disagreed about what that means now. Michael Rappaport, an originalist, argued that the Constitution’s original meaning permits conventions limited to one subject and forbids conventions that exceed their call, while conceding that the fear of a runaway remains</w:t>
      </w:r>
      <w:r>
        <w:t xml:space="preserve"> </w:t>
      </w:r>
      <w:r>
        <w:t xml:space="preserve">“</w:t>
      </w:r>
      <w:r>
        <w:t xml:space="preserve">quite rational</w:t>
      </w:r>
      <w:r>
        <w:t xml:space="preserve">”</w:t>
      </w:r>
      <w:r>
        <w:t xml:space="preserve"> </w:t>
      </w:r>
      <w:r>
        <w:t xml:space="preserve">because original meaning is not always followed. Sanford Levinson argued that the Constitution has become an existential risk and praised the founders less for their handiwork than for their</w:t>
      </w:r>
      <w:r>
        <w:t xml:space="preserve"> </w:t>
      </w:r>
      <w:r>
        <w:t xml:space="preserve">“</w:t>
      </w:r>
      <w:r>
        <w:t xml:space="preserve">audacity</w:t>
      </w:r>
      <w:r>
        <w:t xml:space="preserve">”</w:t>
      </w:r>
      <w:r>
        <w:t xml:space="preserve"> </w:t>
      </w:r>
      <w:r>
        <w:t xml:space="preserve">in replacing a failing system. Farah Peterson warned that the founders’ experience translates poorly to a constitution that now governs daily life, and that structural amendments have unpredictable effects.</w:t>
      </w:r>
      <w:r>
        <w:rPr>
          <w:rStyle w:val="FootnoteReference"/>
        </w:rPr>
        <w:footnoteReference w:id="20"/>
      </w:r>
    </w:p>
    <w:p>
      <w:pPr>
        <w:pStyle w:val="BodyText"/>
      </w:pPr>
      <w:r>
        <w:t xml:space="preserve">Lessig’s question to the panel produced a point of agreement that matters for the whole debate. Both Levinson and Rappaport accepted that there is conceptual space between a revolutionary convention exercising</w:t>
      </w:r>
      <w:r>
        <w:t xml:space="preserve"> </w:t>
      </w:r>
      <w:r>
        <w:t xml:space="preserve">“</w:t>
      </w:r>
      <w:r>
        <w:t xml:space="preserve">constituent power</w:t>
      </w:r>
      <w:r>
        <w:t xml:space="preserve">”</w:t>
      </w:r>
      <w:r>
        <w:t xml:space="preserve"> </w:t>
      </w:r>
      <w:r>
        <w:t xml:space="preserve">and ordinary politics, and that an Article V convention sits in that space. Rappaport went further and said that even an unlimited Article V convention would be legitimate, so long as it kept the existing ratification rules.</w:t>
      </w:r>
    </w:p>
    <w:bookmarkEnd w:id="21"/>
    <w:bookmarkStart w:id="24" w:name="context"/>
    <w:p>
      <w:pPr>
        <w:pStyle w:val="Heading1"/>
      </w:pPr>
      <w:r>
        <w:t xml:space="preserve">Context</w:t>
      </w:r>
    </w:p>
    <w:p>
      <w:pPr>
        <w:pStyle w:val="FirstParagraph"/>
      </w:pPr>
      <w:r>
        <w:t xml:space="preserve">This panel took up the history Farris had invoked minutes earlier. The central dispute over 1787 is whether the Philadelphia Convention exceeded its mandate. Congress’s February 1787 resolution endorsed a convention</w:t>
      </w:r>
      <w:r>
        <w:t xml:space="preserve"> </w:t>
      </w:r>
      <w:r>
        <w:t xml:space="preserve">“</w:t>
      </w:r>
      <w:r>
        <w:t xml:space="preserve">for the sole and express purpose of revising the Articles of Confederation,</w:t>
      </w:r>
      <w:r>
        <w:t xml:space="preserve">”</w:t>
      </w:r>
      <w:r>
        <w:t xml:space="preserve"> </w:t>
      </w:r>
      <w:r>
        <w:t xml:space="preserve">and the Articles required unanimous approval of the state legislatures for any change.</w:t>
      </w:r>
      <w:r>
        <w:rPr>
          <w:rStyle w:val="FootnoteReference"/>
        </w:rPr>
        <w:footnoteReference w:id="22"/>
      </w:r>
      <w:r>
        <w:t xml:space="preserve"> </w:t>
      </w:r>
      <w:r>
        <w:t xml:space="preserve">The convention instead proposed a new constitution, to be ratified by conventions in nine states.</w:t>
      </w:r>
      <w:r>
        <w:rPr>
          <w:rStyle w:val="FootnoteReference"/>
        </w:rPr>
        <w:footnoteReference w:id="23"/>
      </w:r>
      <w:r>
        <w:t xml:space="preserve"> </w:t>
      </w:r>
      <w:r>
        <w:t xml:space="preserve">Opponents of an Article V convention cite this as proof that conventions run away. Farris, in the previous session, argued the delegates followed their state instructions.</w:t>
      </w:r>
    </w:p>
    <w:bookmarkEnd w:id="24"/>
    <w:bookmarkStart w:id="32" w:name="presentations"/>
    <w:p>
      <w:pPr>
        <w:pStyle w:val="Heading1"/>
      </w:pPr>
      <w:r>
        <w:t xml:space="preserve">Presentations</w:t>
      </w:r>
    </w:p>
    <w:bookmarkStart w:id="27" w:name="X29077e87d5789a8952a2af534fa4eb01e30f2c4"/>
    <w:p>
      <w:pPr>
        <w:pStyle w:val="Heading2"/>
      </w:pPr>
      <w:r>
        <w:t xml:space="preserve">Farah Peterson: what the founders were solving, and what does not translate</w:t>
      </w:r>
    </w:p>
    <w:p>
      <w:pPr>
        <w:pStyle w:val="FirstParagraph"/>
      </w:pPr>
      <w:r>
        <w:t xml:space="preserve">Peterson identified the concrete problems the framers were fixing. Ratification of the Articles was held up until 1781 by a dispute over western lands, with Maryland the last holdout. Congress’s attempts to raise money through an impost, a tax on imports, failed in 1781 because of Rhode Island and in 1783 because of New York. A two-thirds vote in Congress followed by three-fourths of the states would have solved every one of these problems. So the framers may not have thought Article V was hard.</w:t>
      </w:r>
    </w:p>
    <w:p>
      <w:pPr>
        <w:pStyle w:val="BodyText"/>
      </w:pPr>
      <w:r>
        <w:t xml:space="preserve">Early amendments, she said, show how the founders thought about the device. Congress presented the Bill of Rights partly as rules to prevent misconstruction rather than as new law. The Eleventh Amendment overrode</w:t>
      </w:r>
      <w:r>
        <w:t xml:space="preserve"> </w:t>
      </w:r>
      <w:r>
        <w:rPr>
          <w:iCs/>
          <w:i/>
        </w:rPr>
        <w:t xml:space="preserve">Chisholm v. Georgia</w:t>
      </w:r>
      <w:r>
        <w:t xml:space="preserve"> </w:t>
      </w:r>
      <w:r>
        <w:t xml:space="preserve">to restore what Federalists had promised during ratification.</w:t>
      </w:r>
      <w:r>
        <w:rPr>
          <w:rStyle w:val="FootnoteReference"/>
        </w:rPr>
        <w:footnoteReference w:id="25"/>
      </w:r>
      <w:r>
        <w:t xml:space="preserve"> </w:t>
      </w:r>
      <w:r>
        <w:t xml:space="preserve">Arguably the Twelfth was the first real amendment, fixing a dysfunctional method of choosing the vice president.</w:t>
      </w:r>
    </w:p>
    <w:p>
      <w:pPr>
        <w:pStyle w:val="BodyText"/>
      </w:pPr>
      <w:r>
        <w:t xml:space="preserve">She gave two reasons why the founders’ experience is a limited guide. Their federal government was small; for many Americans the post office was its only presence. Questions that drove twentieth-century amendment campaigns, such as the franchise, labor relations, and church and state, were state matters. The better analogy for a constitution that reaches into daily life is the state constitutions, which were easy to amend. Second, the founders were not formalists. They expected the text’s meaning to develop through experience, as Chief Justice Marshall said in</w:t>
      </w:r>
      <w:r>
        <w:t xml:space="preserve"> </w:t>
      </w:r>
      <w:r>
        <w:rPr>
          <w:iCs/>
          <w:i/>
        </w:rPr>
        <w:t xml:space="preserve">McCulloch v. Maryland</w:t>
      </w:r>
      <w:r>
        <w:t xml:space="preserve">.</w:t>
      </w:r>
      <w:r>
        <w:rPr>
          <w:rStyle w:val="FootnoteReference"/>
        </w:rPr>
        <w:footnoteReference w:id="26"/>
      </w:r>
      <w:r>
        <w:t xml:space="preserve"> </w:t>
      </w:r>
      <w:r>
        <w:t xml:space="preserve">They</w:t>
      </w:r>
      <w:r>
        <w:t xml:space="preserve"> </w:t>
      </w:r>
      <w:r>
        <w:t xml:space="preserve">“</w:t>
      </w:r>
      <w:r>
        <w:t xml:space="preserve">would not have anticipated the constitutionalism of Scalia.</w:t>
      </w:r>
      <w:r>
        <w:t xml:space="preserve">”</w:t>
      </w:r>
    </w:p>
    <w:p>
      <w:pPr>
        <w:pStyle w:val="BodyText"/>
      </w:pPr>
      <w:r>
        <w:t xml:space="preserve">Her takeaways ran both ways. The founders were pragmatists, many of them veterans, who designed processes to succeed; one can call that</w:t>
      </w:r>
      <w:r>
        <w:t xml:space="preserve"> </w:t>
      </w:r>
      <w:r>
        <w:t xml:space="preserve">“</w:t>
      </w:r>
      <w:r>
        <w:t xml:space="preserve">runaway</w:t>
      </w:r>
      <w:r>
        <w:t xml:space="preserve">”</w:t>
      </w:r>
      <w:r>
        <w:t xml:space="preserve"> </w:t>
      </w:r>
      <w:r>
        <w:t xml:space="preserve">or not. But they were also</w:t>
      </w:r>
      <w:r>
        <w:t xml:space="preserve"> </w:t>
      </w:r>
      <w:r>
        <w:t xml:space="preserve">“</w:t>
      </w:r>
      <w:r>
        <w:t xml:space="preserve">very poor prophets</w:t>
      </w:r>
      <w:r>
        <w:t xml:space="preserve">”</w:t>
      </w:r>
      <w:r>
        <w:t xml:space="preserve"> </w:t>
      </w:r>
      <w:r>
        <w:t xml:space="preserve">of what their own text would do. The Necessary and Proper and General Welfare Clauses passed without recorded debate and became the basis of vast federal power. Anyone worried about what a convention might write should also worry about what life that text would lead.</w:t>
      </w:r>
    </w:p>
    <w:bookmarkEnd w:id="27"/>
    <w:bookmarkStart w:id="29" w:name="Xd0f5cd903bae5f3ce2720177bc4db18a8f0dfdc"/>
    <w:p>
      <w:pPr>
        <w:pStyle w:val="Heading2"/>
      </w:pPr>
      <w:r>
        <w:t xml:space="preserve">Michael Rappaport: essential, broken, and in theory limited</w:t>
      </w:r>
    </w:p>
    <w:p>
      <w:pPr>
        <w:pStyle w:val="FirstParagraph"/>
      </w:pPr>
      <w:r>
        <w:t xml:space="preserve">Rappaport called the convention method</w:t>
      </w:r>
      <w:r>
        <w:t xml:space="preserve"> </w:t>
      </w:r>
      <w:r>
        <w:t xml:space="preserve">“</w:t>
      </w:r>
      <w:r>
        <w:t xml:space="preserve">an essential feature of our Constitution, but one that is broken.</w:t>
      </w:r>
      <w:r>
        <w:t xml:space="preserve">”</w:t>
      </w:r>
      <w:r>
        <w:t xml:space="preserve"> </w:t>
      </w:r>
      <w:r>
        <w:t xml:space="preserve">It is essential because it is the only way to pass an amendment Congress opposes, as Mason argued. It is broken because it has never been used, even for the balanced budget amendment in the 1980s.</w:t>
      </w:r>
      <w:r>
        <w:t xml:space="preserve"> </w:t>
      </w:r>
      <w:r>
        <w:t xml:space="preserve">“</w:t>
      </w:r>
      <w:r>
        <w:t xml:space="preserve">If it had been functioning, we might not have a $40 trillion debt today.</w:t>
      </w:r>
      <w:r>
        <w:t xml:space="preserve">”</w:t>
      </w:r>
    </w:p>
    <w:p>
      <w:pPr>
        <w:pStyle w:val="BodyText"/>
      </w:pPr>
      <w:r>
        <w:t xml:space="preserve">The main reason it is broken is the fear of a runaway. A legislature that favors a balanced budget amendment may still refuse to apply, out of fear that a convention would propose something it opposes, such as an amendment on school prayer or campaign finance. Ratification by three-fourths of the states is a safeguard, but a state might fear the amendment would pass anyway, or resent the effort of defeating it.</w:t>
      </w:r>
    </w:p>
    <w:p>
      <w:pPr>
        <w:pStyle w:val="BodyText"/>
      </w:pPr>
      <w:r>
        <w:t xml:space="preserve">He called this fear</w:t>
      </w:r>
      <w:r>
        <w:t xml:space="preserve"> </w:t>
      </w:r>
      <w:r>
        <w:t xml:space="preserve">“</w:t>
      </w:r>
      <w:r>
        <w:t xml:space="preserve">quite rational.</w:t>
      </w:r>
      <w:r>
        <w:t xml:space="preserve">”</w:t>
      </w:r>
      <w:r>
        <w:t xml:space="preserve"> </w:t>
      </w:r>
      <w:r>
        <w:t xml:space="preserve">What frustrates him is that, in his view, the original meaning of the Constitution forbids runaway conventions. His argument had two steps. First, states may apply for a limited convention. A convention limited to one subject is still a</w:t>
      </w:r>
      <w:r>
        <w:t xml:space="preserve"> </w:t>
      </w:r>
      <w:r>
        <w:t xml:space="preserve">“</w:t>
      </w:r>
      <w:r>
        <w:t xml:space="preserve">Convention for proposing Amendments,</w:t>
      </w:r>
      <w:r>
        <w:t xml:space="preserve">”</w:t>
      </w:r>
      <w:r>
        <w:t xml:space="preserve"> </w:t>
      </w:r>
      <w:r>
        <w:t xml:space="preserve">and limited conventions existed at the founding, both among the states and under state constitutions such as Georgia’s of 1777. Even the defenders of Philadelphia argued that it had followed its call, not that conventions cannot be limited. Second, Congress must call the convention the states applied for, and the convention is bound by that call. A convention derives its authority from the Constitution and the call; one that ignores the call has no more authority than one that convened without being called.</w:t>
      </w:r>
    </w:p>
    <w:p>
      <w:pPr>
        <w:pStyle w:val="BodyText"/>
      </w:pPr>
      <w:r>
        <w:t xml:space="preserve">To the objection that Philadelphia itself ran away, he answered that 1787 was a revolution, a departure from the Articles justified by their defects. The new Constitution did not endorse revolutions. It made amendment easier, relative to the Articles’ unanimity rule, precisely to make revolution unnecessary.</w:t>
      </w:r>
      <w:r>
        <w:t xml:space="preserve"> </w:t>
      </w:r>
      <w:r>
        <w:t xml:space="preserve">“</w:t>
      </w:r>
      <w:r>
        <w:t xml:space="preserve">I think runaway conventions are unconstitutional, but that doesn’t eliminate the risk that they will occur.</w:t>
      </w:r>
      <w:r>
        <w:t xml:space="preserve">”</w:t>
      </w:r>
    </w:p>
    <w:p>
      <w:pPr>
        <w:pStyle w:val="BodyText"/>
      </w:pPr>
      <w:r>
        <w:t xml:space="preserve">He elaborated these views in earlier work, including a 2010 article proposing reforms to the convention method.</w:t>
      </w:r>
      <w:r>
        <w:rPr>
          <w:rStyle w:val="FootnoteReference"/>
        </w:rPr>
        <w:footnoteReference w:id="28"/>
      </w:r>
    </w:p>
    <w:bookmarkEnd w:id="29"/>
    <w:bookmarkStart w:id="31" w:name="Xbbad400c58d1068df53147d6c4208825e2177f0"/>
    <w:p>
      <w:pPr>
        <w:pStyle w:val="Heading2"/>
      </w:pPr>
      <w:r>
        <w:t xml:space="preserve">Sanford Levinson: the audacity of the founders</w:t>
      </w:r>
    </w:p>
    <w:p>
      <w:pPr>
        <w:pStyle w:val="FirstParagraph"/>
      </w:pPr>
      <w:r>
        <w:t xml:space="preserve">Levinson described himself as an</w:t>
      </w:r>
      <w:r>
        <w:t xml:space="preserve"> </w:t>
      </w:r>
      <w:r>
        <w:t xml:space="preserve">“</w:t>
      </w:r>
      <w:r>
        <w:t xml:space="preserve">increasingly vociferous critic</w:t>
      </w:r>
      <w:r>
        <w:t xml:space="preserve">”</w:t>
      </w:r>
      <w:r>
        <w:t xml:space="preserve"> </w:t>
      </w:r>
      <w:r>
        <w:t xml:space="preserve">who believes the Constitution</w:t>
      </w:r>
      <w:r>
        <w:t xml:space="preserve"> </w:t>
      </w:r>
      <w:r>
        <w:t xml:space="preserve">“</w:t>
      </w:r>
      <w:r>
        <w:t xml:space="preserve">constitutes a clear and present danger, even an existential risk to our national survival.</w:t>
      </w:r>
      <w:r>
        <w:t xml:space="preserve">”</w:t>
      </w:r>
      <w:r>
        <w:t xml:space="preserve"> </w:t>
      </w:r>
      <w:r>
        <w:t xml:space="preserve">That is why he supports a new convention despite the arguments of skeptics such as David Super, who would speak that afternoon.</w:t>
      </w:r>
      <w:r>
        <w:rPr>
          <w:rStyle w:val="FootnoteReference"/>
        </w:rPr>
        <w:footnoteReference w:id="30"/>
      </w:r>
    </w:p>
    <w:p>
      <w:pPr>
        <w:pStyle w:val="BodyText"/>
      </w:pPr>
      <w:r>
        <w:t xml:space="preserve">He said he does not engage in</w:t>
      </w:r>
      <w:r>
        <w:t xml:space="preserve"> </w:t>
      </w:r>
      <w:r>
        <w:t xml:space="preserve">“</w:t>
      </w:r>
      <w:r>
        <w:t xml:space="preserve">founder bashing.</w:t>
      </w:r>
      <w:r>
        <w:t xml:space="preserve">”</w:t>
      </w:r>
      <w:r>
        <w:t xml:space="preserve"> </w:t>
      </w:r>
      <w:r>
        <w:t xml:space="preserve">He can defend every compromise of 1787, including equal state voting in the Senate, which he despises, as a prudent response to the dilemmas of that year. What he praises is not the handiwork but the founders’</w:t>
      </w:r>
      <w:r>
        <w:t xml:space="preserve"> </w:t>
      </w:r>
      <w:r>
        <w:t xml:space="preserve">“</w:t>
      </w:r>
      <w:r>
        <w:t xml:space="preserve">sheer audacity.</w:t>
      </w:r>
      <w:r>
        <w:t xml:space="preserve">”</w:t>
      </w:r>
      <w:r>
        <w:t xml:space="preserve"> </w:t>
      </w:r>
      <w:r>
        <w:t xml:space="preserve">To believe that a document written 239 years ago can serve us well today is</w:t>
      </w:r>
      <w:r>
        <w:t xml:space="preserve"> </w:t>
      </w:r>
      <w:r>
        <w:t xml:space="preserve">“</w:t>
      </w:r>
      <w:r>
        <w:t xml:space="preserve">like believing that Thomas Edison provided the last word on electric light bulbs.</w:t>
      </w:r>
      <w:r>
        <w:t xml:space="preserve">”</w:t>
      </w:r>
    </w:p>
    <w:p>
      <w:pPr>
        <w:pStyle w:val="BodyText"/>
      </w:pPr>
      <w:r>
        <w:t xml:space="preserve">Article VII, he said, is the most audacious part of the Constitution and is never taught. A textualist need only read Article XIII of the Articles to see that the framers ignored the existing law. He quoted Edmund Randolph (</w:t>
      </w:r>
      <w:r>
        <w:t xml:space="preserve">“</w:t>
      </w:r>
      <w:r>
        <w:t xml:space="preserve">There are great seasons when persons with limited powers are justified in exceeding them</w:t>
      </w:r>
      <w:r>
        <w:t xml:space="preserve">”</w:t>
      </w:r>
      <w:r>
        <w:t xml:space="preserve">), Hamilton, and Madison in Federalist No. 41 (</w:t>
      </w:r>
      <w:r>
        <w:t xml:space="preserve">“</w:t>
      </w:r>
      <w:r>
        <w:t xml:space="preserve">It is in vain to oppose constitutional barriers to the impulse of self-preservation</w:t>
      </w:r>
      <w:r>
        <w:t xml:space="preserve">”</w:t>
      </w:r>
      <w:r>
        <w:t xml:space="preserve">). The convention recognized political limits, such as the need to accommodate enslavers and small states, but not legal ones.</w:t>
      </w:r>
    </w:p>
    <w:p>
      <w:pPr>
        <w:pStyle w:val="BodyText"/>
      </w:pPr>
      <w:r>
        <w:t xml:space="preserve">He closed with Madison in Federalist No. 14, praising Americans who refused to let</w:t>
      </w:r>
      <w:r>
        <w:t xml:space="preserve"> </w:t>
      </w:r>
      <w:r>
        <w:t xml:space="preserve">“</w:t>
      </w:r>
      <w:r>
        <w:t xml:space="preserve">a blind veneration for antiquity</w:t>
      </w:r>
      <w:r>
        <w:t xml:space="preserve">”</w:t>
      </w:r>
      <w:r>
        <w:t xml:space="preserve"> </w:t>
      </w:r>
      <w:r>
        <w:t xml:space="preserve">overrule</w:t>
      </w:r>
      <w:r>
        <w:t xml:space="preserve"> </w:t>
      </w:r>
      <w:r>
        <w:t xml:space="preserve">“</w:t>
      </w:r>
      <w:r>
        <w:t xml:space="preserve">the lessons of their own experience,</w:t>
      </w:r>
      <w:r>
        <w:t xml:space="preserve">”</w:t>
      </w:r>
      <w:r>
        <w:t xml:space="preserve"> </w:t>
      </w:r>
      <w:r>
        <w:t xml:space="preserve">and Hamilton’s question in Federalist No. 1, whether societies can establish good government</w:t>
      </w:r>
      <w:r>
        <w:t xml:space="preserve"> </w:t>
      </w:r>
      <w:r>
        <w:t xml:space="preserve">“</w:t>
      </w:r>
      <w:r>
        <w:t xml:space="preserve">from reflection and choice</w:t>
      </w:r>
      <w:r>
        <w:t xml:space="preserve">”</w:t>
      </w:r>
      <w:r>
        <w:t xml:space="preserve"> </w:t>
      </w:r>
      <w:r>
        <w:t xml:space="preserve">or must depend</w:t>
      </w:r>
      <w:r>
        <w:t xml:space="preserve"> </w:t>
      </w:r>
      <w:r>
        <w:t xml:space="preserve">“</w:t>
      </w:r>
      <w:r>
        <w:t xml:space="preserve">on accident and force.</w:t>
      </w:r>
      <w:r>
        <w:t xml:space="preserve">”</w:t>
      </w:r>
      <w:r>
        <w:t xml:space="preserve"> </w:t>
      </w:r>
      <w:r>
        <w:t xml:space="preserve">That, he said, is the question before us.</w:t>
      </w:r>
    </w:p>
    <w:bookmarkEnd w:id="31"/>
    <w:bookmarkEnd w:id="32"/>
    <w:bookmarkStart w:id="35" w:name="discussion"/>
    <w:p>
      <w:pPr>
        <w:pStyle w:val="Heading1"/>
      </w:pPr>
      <w:r>
        <w:t xml:space="preserve">Discussion</w:t>
      </w:r>
    </w:p>
    <w:p>
      <w:pPr>
        <w:pStyle w:val="FirstParagraph"/>
      </w:pPr>
      <w:r>
        <w:rPr>
          <w:bCs/>
          <w:b/>
        </w:rPr>
        <w:t xml:space="preserve">Rappaport on revolution.</w:t>
      </w:r>
      <w:r>
        <w:t xml:space="preserve"> </w:t>
      </w:r>
      <w:r>
        <w:t xml:space="preserve">Rappaport read Levinson as calling for a revolution, a departure from the rules. One can always do that, he said, but it requires believing the Constitution is very bad and that the risk is worth it. In a time of hyperpartisanship, dropping the supermajority rules would produce a constitution strongly opposed by much of the country and would weaken what unity we have. He also offered an explanation for why amendment has become so rare: non-originalism. If judges can update the Constitution, no one needs to amend it. The New Deal rewrote constitutional law without amendments, and the Twenty-Sixth Amendment was needed only because the Court, by one vote, held that Congress could not set an eighteen-year-old voting age for state elections.</w:t>
      </w:r>
      <w:r>
        <w:rPr>
          <w:rStyle w:val="FootnoteReference"/>
        </w:rPr>
        <w:footnoteReference w:id="33"/>
      </w:r>
    </w:p>
    <w:p>
      <w:pPr>
        <w:pStyle w:val="BodyText"/>
      </w:pPr>
      <w:r>
        <w:rPr>
          <w:bCs/>
          <w:b/>
        </w:rPr>
        <w:t xml:space="preserve">Peterson on interpretation.</w:t>
      </w:r>
      <w:r>
        <w:t xml:space="preserve"> </w:t>
      </w:r>
      <w:r>
        <w:t xml:space="preserve">Peterson replied that it is ironic to call interpretive change unfaithful to the founders when they too evolved the Constitution through practice, as with the Louisiana Purchase. Major structural amendments should be rare. When the political process, including judicial interpretation, can achieve structural reform, it may be gentler. The real question is whether conditions have become so difficult that we need a dramatic change,</w:t>
      </w:r>
      <w:r>
        <w:t xml:space="preserve"> </w:t>
      </w:r>
      <w:r>
        <w:t xml:space="preserve">“</w:t>
      </w:r>
      <w:r>
        <w:t xml:space="preserve">but we shouldn’t pretend that that wouldn’t be quite traumatic and might lead to civil unrest.</w:t>
      </w:r>
      <w:r>
        <w:t xml:space="preserve">”</w:t>
      </w:r>
    </w:p>
    <w:p>
      <w:pPr>
        <w:pStyle w:val="BodyText"/>
      </w:pPr>
      <w:r>
        <w:rPr>
          <w:bCs/>
          <w:b/>
        </w:rPr>
        <w:t xml:space="preserve">Constituencies for change.</w:t>
      </w:r>
      <w:r>
        <w:t xml:space="preserve"> </w:t>
      </w:r>
      <w:r>
        <w:t xml:space="preserve">Re asked whether any constituency today could make an amendment feasible. Levinson said the changes he wants are structural, and structural reform has no constituency. Single-member House districts, which he sees as a source of polarization and two-party entrenchment, exist by statute, not by the Constitution, but</w:t>
      </w:r>
      <w:r>
        <w:t xml:space="preserve"> </w:t>
      </w:r>
      <w:r>
        <w:t xml:space="preserve">“</w:t>
      </w:r>
      <w:r>
        <w:t xml:space="preserve">hell will freeze over before the House of Representatives would challenge the basis of how they get into power.</w:t>
      </w:r>
      <w:r>
        <w:t xml:space="preserve">”</w:t>
      </w:r>
      <w:r>
        <w:t xml:space="preserve"> </w:t>
      </w:r>
      <w:r>
        <w:t xml:space="preserve">Nor is there any federal initiative process. Peterson added that much structural change has come without amendment, through the Voting Rights Act and the Court’s refusal to police partisan gerrymandering, and that the political process decided what the Thirteenth Amendment would mean.</w:t>
      </w:r>
    </w:p>
    <w:p>
      <w:pPr>
        <w:pStyle w:val="BodyText"/>
      </w:pPr>
      <w:r>
        <w:rPr>
          <w:bCs/>
          <w:b/>
        </w:rPr>
        <w:t xml:space="preserve">A modest proposal.</w:t>
      </w:r>
      <w:r>
        <w:t xml:space="preserve"> </w:t>
      </w:r>
      <w:r>
        <w:t xml:space="preserve">Rappaport proposed</w:t>
      </w:r>
      <w:r>
        <w:t xml:space="preserve"> </w:t>
      </w:r>
      <w:r>
        <w:t xml:space="preserve">“</w:t>
      </w:r>
      <w:r>
        <w:t xml:space="preserve">baby steps</w:t>
      </w:r>
      <w:r>
        <w:t xml:space="preserve">”</w:t>
      </w:r>
      <w:r>
        <w:t xml:space="preserve">: an amendment barring anyone who has turned 70 from being elected president. Passing something with broad support would restart the amendment process and remind Americans they agree on some things. Levinson supported it but called it inadequate to an existential problem.</w:t>
      </w:r>
    </w:p>
    <w:p>
      <w:pPr>
        <w:pStyle w:val="BodyText"/>
      </w:pPr>
      <w:r>
        <w:rPr>
          <w:bCs/>
          <w:b/>
        </w:rPr>
        <w:t xml:space="preserve">Lessig’s question.</w:t>
      </w:r>
      <w:r>
        <w:t xml:space="preserve"> </w:t>
      </w:r>
      <w:r>
        <w:t xml:space="preserve">Lessig asked whether the panelists agreed that between revolution outside the Constitution and ordinary politics within it, Article V creates a third space: a constitutionally authorized body that proposes amendments without claiming the founders’ constituent power. Levinson said,</w:t>
      </w:r>
      <w:r>
        <w:t xml:space="preserve"> </w:t>
      </w:r>
      <w:r>
        <w:t xml:space="preserve">“</w:t>
      </w:r>
      <w:r>
        <w:t xml:space="preserve">The only honest answer is who knows,</w:t>
      </w:r>
      <w:r>
        <w:t xml:space="preserve">”</w:t>
      </w:r>
      <w:r>
        <w:t xml:space="preserve"> </w:t>
      </w:r>
      <w:r>
        <w:t xml:space="preserve">because the country has done so little reflection on constitutional change. He recalled the 1912 election, with three reform-minded candidates, and the four amendments of that decade, and criticized President Obama for never giving a major speech on the Constitution. Rappaport agreed with Lessig. If people want to change the system without leaving it, he said,</w:t>
      </w:r>
      <w:r>
        <w:t xml:space="preserve"> </w:t>
      </w:r>
      <w:r>
        <w:t xml:space="preserve">“</w:t>
      </w:r>
      <w:r>
        <w:t xml:space="preserve">that’s what an Article Five unlimited convention would be about.</w:t>
      </w:r>
      <w:r>
        <w:t xml:space="preserve">”</w:t>
      </w:r>
      <w:r>
        <w:t xml:space="preserve"> </w:t>
      </w:r>
      <w:r>
        <w:t xml:space="preserve">It would be legitimate so long as it kept the existing ratification rules.</w:t>
      </w:r>
    </w:p>
    <w:p>
      <w:pPr>
        <w:pStyle w:val="BodyText"/>
      </w:pPr>
      <w:r>
        <w:rPr>
          <w:bCs/>
          <w:b/>
        </w:rPr>
        <w:t xml:space="preserve">Audience.</w:t>
      </w:r>
      <w:r>
        <w:t xml:space="preserve"> </w:t>
      </w:r>
      <w:r>
        <w:t xml:space="preserve">One questioner described the Articles as closer to a treaty among sovereigns. Rappaport noted that Akhil Amar has made that argument. Levinson said this opens the</w:t>
      </w:r>
      <w:r>
        <w:t xml:space="preserve"> </w:t>
      </w:r>
      <w:r>
        <w:t xml:space="preserve">“</w:t>
      </w:r>
      <w:r>
        <w:t xml:space="preserve">compact theory</w:t>
      </w:r>
      <w:r>
        <w:t xml:space="preserve">”</w:t>
      </w:r>
      <w:r>
        <w:t xml:space="preserve"> </w:t>
      </w:r>
      <w:r>
        <w:t xml:space="preserve">of 1798 and its</w:t>
      </w:r>
      <w:r>
        <w:t xml:space="preserve"> </w:t>
      </w:r>
      <w:r>
        <w:t xml:space="preserve">“</w:t>
      </w:r>
      <w:r>
        <w:t xml:space="preserve">brooding omnipresence,</w:t>
      </w:r>
      <w:r>
        <w:t xml:space="preserve">”</w:t>
      </w:r>
      <w:r>
        <w:t xml:space="preserve"> </w:t>
      </w:r>
      <w:r>
        <w:t xml:space="preserve">secession, and noted a forthcoming book by Kent Greenfield advocating secession. Peterson noted that Virginia’s highest court adopted the compact view in the remand of</w:t>
      </w:r>
      <w:r>
        <w:t xml:space="preserve"> </w:t>
      </w:r>
      <w:r>
        <w:rPr>
          <w:iCs/>
          <w:i/>
        </w:rPr>
        <w:t xml:space="preserve">Martin v. Hunter’s Lessee</w:t>
      </w:r>
      <w:r>
        <w:t xml:space="preserve">.</w:t>
      </w:r>
      <w:r>
        <w:rPr>
          <w:rStyle w:val="FootnoteReference"/>
        </w:rPr>
        <w:footnoteReference w:id="34"/>
      </w:r>
      <w:r>
        <w:t xml:space="preserve"> </w:t>
      </w:r>
      <w:r>
        <w:t xml:space="preserve">Another questioner pointed to the Twenty-Seventh Amendment, ratified two centuries after it was proposed, as a sign of the system’s flexibility.</w:t>
      </w:r>
    </w:p>
    <w:bookmarkEnd w:id="35"/>
    <w:bookmarkStart w:id="36" w:name="how-the-debate-stands-after-session-3"/>
    <w:p>
      <w:pPr>
        <w:pStyle w:val="Heading1"/>
      </w:pPr>
      <w:r>
        <w:t xml:space="preserve">How the debate stands after Session 3</w:t>
      </w:r>
    </w:p>
    <w:p>
      <w:pPr>
        <w:pStyle w:val="FirstParagraph"/>
      </w:pPr>
      <w:r>
        <w:t xml:space="preserve">The panel shifted the terms of the runaway argument. Farris had defended 1787 as obedient to its instructions. The panel, including the originalist on it, treated 1787 as a legal rupture, and so as a poor guide either way. What matters is whether the 1789 Constitution created a body that is bound by its call. Rappaport gave proponents the strongest legal argument they would hear all day: on the original meaning, limited conventions are valid and runaway conventions are unconstitutional. But he gave skeptics an equally important concession: the fear is rational, because the law may not hold in practice. That gap between legal limits and practical limits recurs in every later session.</w:t>
      </w:r>
    </w:p>
    <w:p>
      <w:pPr>
        <w:pStyle w:val="BodyText"/>
      </w:pPr>
      <w:r>
        <w:t xml:space="preserve">Rappaport’s answer to Lessig is worth noting for a second reason. Much of the pro-convention case rests on the promise that a convention will stay limited. Rappaport accepted that an</w:t>
      </w:r>
      <w:r>
        <w:t xml:space="preserve"> </w:t>
      </w:r>
      <w:r>
        <w:rPr>
          <w:iCs/>
          <w:i/>
        </w:rPr>
        <w:t xml:space="preserve">unlimited</w:t>
      </w:r>
      <w:r>
        <w:t xml:space="preserve"> </w:t>
      </w:r>
      <w:r>
        <w:t xml:space="preserve">Article V convention would also be legitimate. Levinson wants one. That is consistent with Lessig’s question but sits uneasily with advocates who sell the convention mainly as narrow and safe.</w:t>
      </w:r>
    </w:p>
    <w:p>
      <w:pPr>
        <w:pStyle w:val="BodyText"/>
      </w:pPr>
      <w:r>
        <w:t xml:space="preserve">Peterson’s contribution may matter most for the substance of any amendment. Her warning that structural amendments lead unpredictable lives applies to every proposal on the table later in the day, including the fiscal amendments that are closest to the threshold.</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3</w:t>
            </w:r>
          </w:p>
        </w:tc>
      </w:tr>
      <w:tr>
        <w:tc>
          <w:tcPr/>
          <w:p>
            <w:pPr>
              <w:pStyle w:val="Compact"/>
              <w:jc w:val="left"/>
            </w:pPr>
            <w:r>
              <w:t xml:space="preserve">Is a convention a legitimate American tool?</w:t>
            </w:r>
          </w:p>
        </w:tc>
        <w:tc>
          <w:tcPr/>
          <w:p>
            <w:pPr>
              <w:pStyle w:val="Compact"/>
              <w:jc w:val="left"/>
            </w:pPr>
            <w:r>
              <w:t xml:space="preserve">Yes, by broad agreement. Rappaport called it essential to amendments Congress opposes. Levinson wants one to remodel the Constitution. Lessig and Rappaport agreed Article V creates a space between revolution and ordinary politics.</w:t>
            </w:r>
          </w:p>
        </w:tc>
      </w:tr>
      <w:tr>
        <w:tc>
          <w:tcPr/>
          <w:p>
            <w:pPr>
              <w:pStyle w:val="Compact"/>
              <w:jc w:val="left"/>
            </w:pPr>
            <w:r>
              <w:t xml:space="preserve">Can a convention be held to its subject?</w:t>
            </w:r>
          </w:p>
        </w:tc>
        <w:tc>
          <w:tcPr/>
          <w:p>
            <w:pPr>
              <w:pStyle w:val="Compact"/>
              <w:jc w:val="left"/>
            </w:pPr>
            <w:r>
              <w:t xml:space="preserve">Rappaport: legally yes, on the original meaning, but the fear of a runaway is rational because law may not hold. Philadelphia is now widely treated as a revolution, so it neither proves nor disproves the risk.</w:t>
            </w:r>
          </w:p>
        </w:tc>
      </w:tr>
      <w:tr>
        <w:tc>
          <w:tcPr/>
          <w:p>
            <w:pPr>
              <w:pStyle w:val="Compact"/>
              <w:jc w:val="left"/>
            </w:pPr>
            <w:r>
              <w:t xml:space="preserve">Would an unlimited convention be legitimate?</w:t>
            </w:r>
          </w:p>
        </w:tc>
        <w:tc>
          <w:tcPr/>
          <w:p>
            <w:pPr>
              <w:pStyle w:val="Compact"/>
              <w:jc w:val="left"/>
            </w:pPr>
            <w:r>
              <w:t xml:space="preserve">Rappaport and Levinson said yes, if ratification rules hold. This complicates proponents who stress limits.</w:t>
            </w:r>
          </w:p>
        </w:tc>
      </w:tr>
      <w:tr>
        <w:tc>
          <w:tcPr/>
          <w:p>
            <w:pPr>
              <w:pStyle w:val="Compact"/>
              <w:jc w:val="left"/>
            </w:pPr>
            <w:r>
              <w:t xml:space="preserve">Who would serve, and how would they be chosen?</w:t>
            </w:r>
          </w:p>
        </w:tc>
        <w:tc>
          <w:tcPr/>
          <w:p>
            <w:pPr>
              <w:pStyle w:val="Compact"/>
              <w:jc w:val="left"/>
            </w:pPr>
            <w:r>
              <w:t xml:space="preserve">Not addressed.</w:t>
            </w:r>
          </w:p>
        </w:tc>
      </w:tr>
      <w:tr>
        <w:tc>
          <w:tcPr/>
          <w:p>
            <w:pPr>
              <w:pStyle w:val="Compact"/>
              <w:jc w:val="left"/>
            </w:pPr>
            <w:r>
              <w:t xml:space="preserve">Is ratification by 38 states a sufficient safeguard?</w:t>
            </w:r>
          </w:p>
        </w:tc>
        <w:tc>
          <w:tcPr/>
          <w:p>
            <w:pPr>
              <w:pStyle w:val="Compact"/>
              <w:jc w:val="left"/>
            </w:pPr>
            <w:r>
              <w:t xml:space="preserve">Rappaport: it is a safeguard, but states fear the cost of defeating bad proposals, which deters applications.</w:t>
            </w:r>
          </w:p>
        </w:tc>
      </w:tr>
      <w:tr>
        <w:tc>
          <w:tcPr/>
          <w:p>
            <w:pPr>
              <w:pStyle w:val="Compact"/>
              <w:jc w:val="left"/>
            </w:pPr>
            <w:r>
              <w:t xml:space="preserve">What explains the stall in amendment?</w:t>
            </w:r>
          </w:p>
        </w:tc>
        <w:tc>
          <w:tcPr/>
          <w:p>
            <w:pPr>
              <w:pStyle w:val="Compact"/>
              <w:jc w:val="left"/>
            </w:pPr>
            <w:r>
              <w:t xml:space="preserve">Rival accounts: Rappaport blamed non-originalist interpretation; Peterson and Levinson pointed to structural change through statute and courts and to the absence of any constituency for structural reform.</w:t>
            </w:r>
          </w:p>
        </w:tc>
      </w:tr>
      <w:tr>
        <w:tc>
          <w:tcPr/>
          <w:p>
            <w:pPr>
              <w:pStyle w:val="Compact"/>
              <w:jc w:val="left"/>
            </w:pPr>
            <w:r>
              <w:t xml:space="preserve">What would a first amendment look like?</w:t>
            </w:r>
          </w:p>
        </w:tc>
        <w:tc>
          <w:tcPr/>
          <w:p>
            <w:pPr>
              <w:pStyle w:val="Compact"/>
              <w:jc w:val="left"/>
            </w:pPr>
            <w:r>
              <w:t xml:space="preserve">Rappaport proposed an age limit for presidents as a cross-partisan</w:t>
            </w:r>
            <w:r>
              <w:t xml:space="preserve"> </w:t>
            </w:r>
            <w:r>
              <w:t xml:space="preserve">“</w:t>
            </w:r>
            <w:r>
              <w:t xml:space="preserve">baby step.</w:t>
            </w:r>
            <w:r>
              <w:t xml:space="preserve">”</w:t>
            </w:r>
          </w:p>
        </w:tc>
      </w:tr>
    </w:tbl>
    <w:bookmarkEnd w:id="36"/>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Panel I, Origins: The History and Traditions of Article V, V the People Conference, Harvard Law School (Oct. 3, 2026) (on file with the conference organizers). Quotations are lightly corrected for obvious transcription errors, and names are corrected against the conference roster.</w:t>
      </w:r>
    </w:p>
  </w:footnote>
  <w:footnote w:id="22">
    <w:p>
      <w:pPr>
        <w:pStyle w:val="FootnoteText"/>
      </w:pPr>
      <w:r>
        <w:rPr>
          <w:rStyle w:val="FootnoteReference"/>
        </w:rPr>
        <w:footnoteRef/>
      </w:r>
      <w:r>
        <w:t xml:space="preserve"> </w:t>
      </w:r>
      <w:r>
        <w:t xml:space="preserve">Articles of Confederation of 1781, art. XIII; 32 Journals of the Continental Congress 1774–1789, at 74 (Roscoe R. Hill ed., 1936) (resolution of Feb. 21, 1787).</w:t>
      </w:r>
    </w:p>
  </w:footnote>
  <w:footnote w:id="23">
    <w:p>
      <w:pPr>
        <w:pStyle w:val="FootnoteText"/>
      </w:pPr>
      <w:r>
        <w:rPr>
          <w:rStyle w:val="FootnoteReference"/>
        </w:rPr>
        <w:footnoteRef/>
      </w:r>
      <w:r>
        <w:t xml:space="preserve"> </w:t>
      </w:r>
      <w:r>
        <w:t xml:space="preserve">U.S. Const. art. VII.</w:t>
      </w:r>
    </w:p>
  </w:footnote>
  <w:footnote w:id="25">
    <w:p>
      <w:pPr>
        <w:pStyle w:val="FootnoteText"/>
      </w:pPr>
      <w:r>
        <w:rPr>
          <w:rStyle w:val="FootnoteReference"/>
        </w:rPr>
        <w:footnoteRef/>
      </w:r>
      <w:r>
        <w:t xml:space="preserve"> </w:t>
      </w:r>
      <w:r>
        <w:t xml:space="preserve">Chisholm v. Georgia, 2 U.S. (2 Dall.) 419 (1793).</w:t>
      </w:r>
    </w:p>
  </w:footnote>
  <w:footnote w:id="26">
    <w:p>
      <w:pPr>
        <w:pStyle w:val="FootnoteText"/>
      </w:pPr>
      <w:r>
        <w:rPr>
          <w:rStyle w:val="FootnoteReference"/>
        </w:rPr>
        <w:footnoteRef/>
      </w:r>
      <w:r>
        <w:t xml:space="preserve"> </w:t>
      </w:r>
      <w:r>
        <w:t xml:space="preserve">McCulloch v. Maryland, 17 U.S. (4 Wheat.) 316 (1819).</w:t>
      </w:r>
    </w:p>
  </w:footnote>
  <w:footnote w:id="28">
    <w:p>
      <w:pPr>
        <w:pStyle w:val="FootnoteText"/>
      </w:pPr>
      <w:r>
        <w:rPr>
          <w:rStyle w:val="FootnoteReference"/>
        </w:rPr>
        <w:footnoteRef/>
      </w:r>
      <w:r>
        <w:t xml:space="preserve"> </w:t>
      </w:r>
      <w:r>
        <w:t xml:space="preserve">Michael B. Rappaport,</w:t>
      </w:r>
      <w:r>
        <w:t xml:space="preserve"> </w:t>
      </w:r>
      <w:r>
        <w:rPr>
          <w:iCs/>
          <w:i/>
        </w:rPr>
        <w:t xml:space="preserve">Reforming Article V: The Problems Created by the National Convention Amendment Method and How to Fix Them</w:t>
      </w:r>
      <w:r>
        <w:t xml:space="preserve">, 96 Va. L. Rev. 1509 (2010);</w:t>
      </w:r>
      <w:r>
        <w:t xml:space="preserve"> </w:t>
      </w:r>
      <w:r>
        <w:rPr>
          <w:iCs/>
          <w:i/>
        </w:rPr>
        <w:t xml:space="preserve">see also</w:t>
      </w:r>
      <w:r>
        <w:t xml:space="preserve"> </w:t>
      </w:r>
      <w:r>
        <w:t xml:space="preserve">John O. McGinnis &amp; Michael B. Rappaport, Originalism and the Good Constitution (2013).</w:t>
      </w:r>
    </w:p>
  </w:footnote>
  <w:footnote w:id="30">
    <w:p>
      <w:pPr>
        <w:pStyle w:val="FootnoteText"/>
      </w:pPr>
      <w:r>
        <w:rPr>
          <w:rStyle w:val="FootnoteReference"/>
        </w:rPr>
        <w:footnoteRef/>
      </w:r>
      <w:r>
        <w:t xml:space="preserve"> </w:t>
      </w:r>
      <w:r>
        <w:rPr>
          <w:iCs/>
          <w:i/>
        </w:rPr>
        <w:t xml:space="preserve">See</w:t>
      </w:r>
      <w:r>
        <w:t xml:space="preserve"> </w:t>
      </w:r>
      <w:r>
        <w:t xml:space="preserve">Sanford Levinson, Our Undemocratic Constitution: Where the Constitution Goes Wrong (and How We the People Can Correct It) (2006).</w:t>
      </w:r>
    </w:p>
  </w:footnote>
  <w:footnote w:id="33">
    <w:p>
      <w:pPr>
        <w:pStyle w:val="FootnoteText"/>
      </w:pPr>
      <w:r>
        <w:rPr>
          <w:rStyle w:val="FootnoteReference"/>
        </w:rPr>
        <w:footnoteRef/>
      </w:r>
      <w:r>
        <w:t xml:space="preserve"> </w:t>
      </w:r>
      <w:r>
        <w:t xml:space="preserve">Oregon v. Mitchell, 400 U.S. 112 (1970).</w:t>
      </w:r>
    </w:p>
  </w:footnote>
  <w:footnote w:id="34">
    <w:p>
      <w:pPr>
        <w:pStyle w:val="FootnoteText"/>
      </w:pPr>
      <w:r>
        <w:rPr>
          <w:rStyle w:val="FootnoteReference"/>
        </w:rPr>
        <w:footnoteRef/>
      </w:r>
      <w:r>
        <w:t xml:space="preserve"> </w:t>
      </w:r>
      <w:r>
        <w:t xml:space="preserve">Martin v. Hunter’s Lessee, 14 U.S. (1 Wheat.) 304 (1816).</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3: Panel I, Origins: The History and Traditions of Article V</dc:title>
  <dc:creator/>
  <cp:keywords/>
  <dcterms:created xsi:type="dcterms:W3CDTF">2026-10-19T14:17:03Z</dcterms:created>
  <dcterms:modified xsi:type="dcterms:W3CDTF">2026-10-19T14:17:03Z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