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Session</w:t>
      </w:r>
      <w:r>
        <w:t xml:space="preserve"> </w:t>
      </w:r>
      <w:r>
        <w:t xml:space="preserve">2:</w:t>
      </w:r>
      <w:r>
        <w:t xml:space="preserve"> </w:t>
      </w:r>
      <w:r>
        <w:t xml:space="preserve">Saturday</w:t>
      </w:r>
      <w:r>
        <w:t xml:space="preserve"> </w:t>
      </w:r>
      <w:r>
        <w:t xml:space="preserve">Opening</w:t>
      </w:r>
      <w:r>
        <w:t xml:space="preserve"> </w:t>
      </w:r>
      <w:r>
        <w:t xml:space="preserve">Remarks</w:t>
      </w:r>
    </w:p>
    <w:p>
      <w:pPr>
        <w:pStyle w:val="Subtitle"/>
      </w:pPr>
      <w:r>
        <w:t xml:space="preserve">V</w:t>
      </w:r>
      <w:r>
        <w:t xml:space="preserve"> </w:t>
      </w:r>
      <w:r>
        <w:t xml:space="preserve">the</w:t>
      </w:r>
      <w:r>
        <w:t xml:space="preserve"> </w:t>
      </w:r>
      <w:r>
        <w:t xml:space="preserve">People</w:t>
      </w:r>
      <w:r>
        <w:t xml:space="preserve"> </w:t>
      </w:r>
      <w:r>
        <w:t xml:space="preserve">Conference</w:t>
      </w:r>
      <w:r>
        <w:t xml:space="preserve"> </w:t>
      </w:r>
      <w:r>
        <w:t xml:space="preserve">on</w:t>
      </w:r>
      <w:r>
        <w:t xml:space="preserve"> </w:t>
      </w:r>
      <w:r>
        <w:t xml:space="preserve">an</w:t>
      </w:r>
      <w:r>
        <w:t xml:space="preserve"> </w:t>
      </w:r>
      <w:r>
        <w:t xml:space="preserve">Article</w:t>
      </w:r>
      <w:r>
        <w:t xml:space="preserve"> </w:t>
      </w:r>
      <w:r>
        <w:t xml:space="preserve">V</w:t>
      </w:r>
      <w:r>
        <w:t xml:space="preserve"> </w:t>
      </w:r>
      <w:r>
        <w:t xml:space="preserve">Convention</w:t>
      </w:r>
      <w:r>
        <w:t xml:space="preserve"> </w:t>
      </w:r>
      <w:r>
        <w:t xml:space="preserve">·</w:t>
      </w:r>
      <w:r>
        <w:t xml:space="preserve"> </w:t>
      </w:r>
      <w:r>
        <w:t xml:space="preserve">Harvard</w:t>
      </w:r>
      <w:r>
        <w:t xml:space="preserve"> </w:t>
      </w:r>
      <w:r>
        <w:t xml:space="preserve">Law</w:t>
      </w:r>
      <w:r>
        <w:t xml:space="preserve"> </w:t>
      </w:r>
      <w:r>
        <w:t xml:space="preserve">School</w:t>
      </w:r>
      <w:r>
        <w:t xml:space="preserve"> </w:t>
      </w:r>
      <w:r>
        <w:t xml:space="preserve">·</w:t>
      </w:r>
      <w:r>
        <w:t xml:space="preserve"> </w:t>
      </w:r>
      <w:r>
        <w:t xml:space="preserve">Saturday,</w:t>
      </w:r>
      <w:r>
        <w:t xml:space="preserve"> </w:t>
      </w:r>
      <w:r>
        <w:t xml:space="preserve">October</w:t>
      </w:r>
      <w:r>
        <w:t xml:space="preserve"> </w:t>
      </w:r>
      <w:r>
        <w:t xml:space="preserve">3,</w:t>
      </w:r>
      <w:r>
        <w:t xml:space="preserve"> </w:t>
      </w:r>
      <w:r>
        <w:t xml:space="preserve">2026</w:t>
      </w:r>
    </w:p>
    <w:tbl>
      <w:tblPr>
        <w:tblStyle w:val="Table"/>
        <w:tblW w:type="pct" w:w="5000"/>
        <w:tblLook w:firstRow="0" w:lastRow="0" w:firstColumn="0" w:lastColumn="0" w:noHBand="0" w:noVBand="0" w:val="0000"/>
        <w:jc w:val="start"/>
      </w:tblPr>
      <w:tblGrid>
        <w:gridCol w:w="2066"/>
        <w:gridCol w:w="5853"/>
      </w:tblGrid>
      <w:tr>
        <w:tc>
          <w:tcPr/>
          <w:p>
            <w:pPr>
              <w:pStyle w:val="Compact"/>
              <w:jc w:val="left"/>
            </w:pPr>
            <w:r>
              <w:t xml:space="preserve">Program slot</w:t>
            </w:r>
          </w:p>
        </w:tc>
        <w:tc>
          <w:tcPr/>
          <w:p>
            <w:pPr>
              <w:pStyle w:val="Compact"/>
              <w:jc w:val="left"/>
            </w:pPr>
            <w:r>
              <w:t xml:space="preserve">Opening remarks, 9:00 a.m.</w:t>
            </w:r>
          </w:p>
        </w:tc>
      </w:tr>
      <w:tr>
        <w:tc>
          <w:tcPr/>
          <w:p>
            <w:pPr>
              <w:pStyle w:val="Compact"/>
              <w:jc w:val="left"/>
            </w:pPr>
            <w:r>
              <w:t xml:space="preserve">Speakers</w:t>
            </w:r>
          </w:p>
        </w:tc>
        <w:tc>
          <w:tcPr/>
          <w:p>
            <w:pPr>
              <w:pStyle w:val="Compact"/>
              <w:jc w:val="left"/>
            </w:pPr>
            <w:r>
              <w:t xml:space="preserve">John C.P. Goldberg, Dean, Harvard Law School (welcome). Michael Farris, Co-Founder and Senior Advisor, Convention of States Project. Lawrence Lessig, Roy L. Furman Professor of Law and Leadership, Harvard Law School.</w:t>
            </w:r>
          </w:p>
        </w:tc>
      </w:tr>
      <w:tr>
        <w:tc>
          <w:tcPr/>
          <w:p>
            <w:pPr>
              <w:pStyle w:val="Compact"/>
              <w:jc w:val="left"/>
            </w:pPr>
            <w:r>
              <w:t xml:space="preserve">Recording</w:t>
            </w:r>
          </w:p>
        </w:tc>
        <w:tc>
          <w:tcPr/>
          <w:p>
            <w:pPr>
              <w:pStyle w:val="Compact"/>
              <w:jc w:val="left"/>
            </w:pPr>
            <w:r>
              <w:t xml:space="preserve">About 32 minutes</w:t>
            </w:r>
          </w:p>
        </w:tc>
      </w:tr>
    </w:tbl>
    <w:bookmarkStart w:id="21" w:name="in-brief"/>
    <w:p>
      <w:pPr>
        <w:pStyle w:val="Heading1"/>
      </w:pPr>
      <w:r>
        <w:t xml:space="preserve">In brief</w:t>
      </w:r>
    </w:p>
    <w:p>
      <w:pPr>
        <w:pStyle w:val="FirstParagraph"/>
      </w:pPr>
      <w:r>
        <w:t xml:space="preserve">The second morning opened with the two hosts laying out their positions. Farris made the case that the convention route exists to check abuse of federal power, and he argued at length that the Philadelphia Convention of 1787 did not</w:t>
      </w:r>
      <w:r>
        <w:t xml:space="preserve"> </w:t>
      </w:r>
      <w:r>
        <w:t xml:space="preserve">“</w:t>
      </w:r>
      <w:r>
        <w:t xml:space="preserve">run away,</w:t>
      </w:r>
      <w:r>
        <w:t xml:space="preserve">”</w:t>
      </w:r>
      <w:r>
        <w:t xml:space="preserve"> </w:t>
      </w:r>
      <w:r>
        <w:t xml:space="preserve">so it cannot be used as evidence that a modern convention would. Lessig tried to move the debate past what he called a fifteen-year loop. He set aside the claim that a convention could rewrite the ratification rules as</w:t>
      </w:r>
      <w:r>
        <w:t xml:space="preserve"> </w:t>
      </w:r>
      <w:r>
        <w:t xml:space="preserve">“</w:t>
      </w:r>
      <w:r>
        <w:t xml:space="preserve">flatly not true,</w:t>
      </w:r>
      <w:r>
        <w:t xml:space="preserve">”</w:t>
      </w:r>
      <w:r>
        <w:t xml:space="preserve"> </w:t>
      </w:r>
      <w:r>
        <w:t xml:space="preserve">accepted that the real question is whether a convention could exceed its call, and sketched a strategy for answering it: bind delegates through state law, as the Supreme Court allowed for presidential electors, and tie that binding to randomly selected citizens’ assemblies, backed by a pledge from thirteen states to reject any amendment produced without democratic safeguards.</w:t>
      </w:r>
      <w:r>
        <w:rPr>
          <w:rStyle w:val="FootnoteReference"/>
        </w:rPr>
        <w:footnoteReference w:id="20"/>
      </w:r>
    </w:p>
    <w:p>
      <w:pPr>
        <w:pStyle w:val="BodyText"/>
      </w:pPr>
      <w:r>
        <w:t xml:space="preserve">These two talks set the agenda for the day. Farris’s account of 1787 framed the history panel that followed. Lessig’s three-part strategy became the reference point for the later panels on safeguards, design, and the future.</w:t>
      </w:r>
    </w:p>
    <w:bookmarkEnd w:id="21"/>
    <w:bookmarkStart w:id="23" w:name="welcome"/>
    <w:p>
      <w:pPr>
        <w:pStyle w:val="Heading1"/>
      </w:pPr>
      <w:r>
        <w:t xml:space="preserve">Welcome</w:t>
      </w:r>
    </w:p>
    <w:p>
      <w:pPr>
        <w:pStyle w:val="FirstParagraph"/>
      </w:pPr>
      <w:r>
        <w:t xml:space="preserve">Dean John Goldberg welcomed participants to a discussion of</w:t>
      </w:r>
      <w:r>
        <w:t xml:space="preserve"> </w:t>
      </w:r>
      <w:r>
        <w:t xml:space="preserve">“</w:t>
      </w:r>
      <w:r>
        <w:t xml:space="preserve">one of our Constitution’s most interesting and under-theorized</w:t>
      </w:r>
      <w:r>
        <w:t xml:space="preserve">”</w:t>
      </w:r>
      <w:r>
        <w:t xml:space="preserve"> </w:t>
      </w:r>
      <w:r>
        <w:t xml:space="preserve">provisions. He noted that ratification of the Constitution was premised on its being changeable, and that Article V was the framers’ attempt to balance stability against adaptability and so avoid violent upheaval. He quoted a Massachusetts ratifying delegate, by way of Michael Klarman’s history of the founding, who said that great changes in government had too often</w:t>
      </w:r>
      <w:r>
        <w:t xml:space="preserve"> </w:t>
      </w:r>
      <w:r>
        <w:t xml:space="preserve">“</w:t>
      </w:r>
      <w:r>
        <w:t xml:space="preserve">been written in blood,</w:t>
      </w:r>
      <w:r>
        <w:t xml:space="preserve">”</w:t>
      </w:r>
      <w:r>
        <w:t xml:space="preserve"> </w:t>
      </w:r>
      <w:r>
        <w:t xml:space="preserve">and pointed to Article V as the peaceful alternative.</w:t>
      </w:r>
      <w:r>
        <w:rPr>
          <w:rStyle w:val="FootnoteReference"/>
        </w:rPr>
        <w:footnoteReference w:id="22"/>
      </w:r>
      <w:r>
        <w:t xml:space="preserve"> </w:t>
      </w:r>
      <w:r>
        <w:t xml:space="preserve">Whether a convention can deliver on that promise, he said, was the conference’s question.</w:t>
      </w:r>
    </w:p>
    <w:bookmarkEnd w:id="23"/>
    <w:bookmarkStart w:id="28" w:name="X962403caaecc5ca55a5ddb8ba7d2c112e3c2a78"/>
    <w:p>
      <w:pPr>
        <w:pStyle w:val="Heading1"/>
      </w:pPr>
      <w:r>
        <w:t xml:space="preserve">Farris: the purpose of the convention route, and Philadelphia</w:t>
      </w:r>
    </w:p>
    <w:bookmarkStart w:id="25" w:name="why-the-states-have-this-power"/>
    <w:p>
      <w:pPr>
        <w:pStyle w:val="Heading2"/>
      </w:pPr>
      <w:r>
        <w:t xml:space="preserve">Why the states have this power</w:t>
      </w:r>
    </w:p>
    <w:p>
      <w:pPr>
        <w:pStyle w:val="FirstParagraph"/>
      </w:pPr>
      <w:r>
        <w:t xml:space="preserve">Farris began from first principles. Written constitutions grant and limit power, and the framers knew their text would prove imperfect. The Bill of Rights itself came in response to pressure from the states, including formal applications for a second convention from Virginia in 1788 and New York in 1789. Madison, who had thought a bill of rights unnecessary, changed course for political reasons: he had promised Baptist voters in his district, and he knew Virginia had already petitioned for a convention. In Farris’s account, the convention process worked then as it has since, by pressuring Congress to act.</w:t>
      </w:r>
    </w:p>
    <w:p>
      <w:pPr>
        <w:pStyle w:val="BodyText"/>
      </w:pPr>
      <w:r>
        <w:t xml:space="preserve">The convention route itself was added late. Two days before the Constitution was approved, George Mason objected that under a Congress-only amendment process</w:t>
      </w:r>
      <w:r>
        <w:t xml:space="preserve"> </w:t>
      </w:r>
      <w:r>
        <w:t xml:space="preserve">“</w:t>
      </w:r>
      <w:r>
        <w:t xml:space="preserve">no amendments of the proper kind would ever be obtained by the people, if the government should become oppressive.</w:t>
      </w:r>
      <w:r>
        <w:t xml:space="preserve">”</w:t>
      </w:r>
      <w:r>
        <w:t xml:space="preserve"> </w:t>
      </w:r>
      <w:r>
        <w:t xml:space="preserve">Gouverneur Morris and Elbridge Gerry moved to add a state-initiated convention, and the motion passed without dissent. Farris concluded that while a convention can address any subject two-thirds of the states agree on,</w:t>
      </w:r>
      <w:r>
        <w:t xml:space="preserve"> </w:t>
      </w:r>
      <w:r>
        <w:t xml:space="preserve">“</w:t>
      </w:r>
      <w:r>
        <w:t xml:space="preserve">the convention process was primarily intended to stop the abuse of federal power.</w:t>
      </w:r>
      <w:r>
        <w:t xml:space="preserve">”</w:t>
      </w:r>
      <w:r>
        <w:t xml:space="preserve"> </w:t>
      </w:r>
      <w:r>
        <w:t xml:space="preserve">He placed every current movement in that frame, including fiscal campaigns and Lessig’s effort to reverse</w:t>
      </w:r>
      <w:r>
        <w:t xml:space="preserve"> </w:t>
      </w:r>
      <w:r>
        <w:rPr>
          <w:iCs/>
          <w:i/>
        </w:rPr>
        <w:t xml:space="preserve">Citizens United</w:t>
      </w:r>
      <w:r>
        <w:t xml:space="preserve">, and argued that Congress’s inaction on all of them proves Mason right.</w:t>
      </w:r>
      <w:r>
        <w:rPr>
          <w:rStyle w:val="FootnoteReference"/>
        </w:rPr>
        <w:footnoteReference w:id="24"/>
      </w:r>
    </w:p>
    <w:bookmarkEnd w:id="25"/>
    <w:bookmarkStart w:id="27" w:name="philadelphia-was-not-a-runaway"/>
    <w:p>
      <w:pPr>
        <w:pStyle w:val="Heading2"/>
      </w:pPr>
      <w:r>
        <w:t xml:space="preserve">Philadelphia was not a runaway</w:t>
      </w:r>
    </w:p>
    <w:p>
      <w:pPr>
        <w:pStyle w:val="FirstParagraph"/>
      </w:pPr>
      <w:r>
        <w:t xml:space="preserve">Farris then addressed the argument that the 1787 convention exceeded its authority, which he called the opponents’ favorite historical example. He summarized his 2017 article on the subject.</w:t>
      </w:r>
      <w:r>
        <w:rPr>
          <w:rStyle w:val="FootnoteReference"/>
        </w:rPr>
        <w:footnoteReference w:id="26"/>
      </w:r>
      <w:r>
        <w:t xml:space="preserve"> </w:t>
      </w:r>
      <w:r>
        <w:t xml:space="preserve">His points were these. The Articles of Confederation gave Congress no power to call a convention, so Congress’s resolution of February 21, 1787 could not have been a call. Its language, that</w:t>
      </w:r>
      <w:r>
        <w:t xml:space="preserve"> </w:t>
      </w:r>
      <w:r>
        <w:t xml:space="preserve">“</w:t>
      </w:r>
      <w:r>
        <w:t xml:space="preserve">in the opinion of Congress, it is expedient</w:t>
      </w:r>
      <w:r>
        <w:t xml:space="preserve">”</w:t>
      </w:r>
      <w:r>
        <w:t xml:space="preserve"> </w:t>
      </w:r>
      <w:r>
        <w:t xml:space="preserve">to hold a convention, was an endorsement. Six states had already called the convention and instructed their delegates before Congress acted. Most states used the Annapolis Convention’s broad charge, to render the federal constitution</w:t>
      </w:r>
      <w:r>
        <w:t xml:space="preserve"> </w:t>
      </w:r>
      <w:r>
        <w:t xml:space="preserve">“</w:t>
      </w:r>
      <w:r>
        <w:t xml:space="preserve">adequate to the exigencies of the Union.</w:t>
      </w:r>
      <w:r>
        <w:t xml:space="preserve">”</w:t>
      </w:r>
      <w:r>
        <w:t xml:space="preserve"> </w:t>
      </w:r>
      <w:r>
        <w:t xml:space="preserve">Only New York limited its delegates to amending the Articles, and New York did not vote for the Constitution. Madison wrote in Federalist No. 40 that the convention’s powers should be judged by the delegates’ commissions from their states. The Massachusetts ratifying convention voted two to one that its delegates had not violated their instructions.</w:t>
      </w:r>
    </w:p>
    <w:p>
      <w:pPr>
        <w:pStyle w:val="BodyText"/>
      </w:pPr>
      <w:r>
        <w:t xml:space="preserve">His conclusion for today was that states may instruct their delegates to an Article V convention and that those instructions must be followed.</w:t>
      </w:r>
      <w:r>
        <w:t xml:space="preserve"> </w:t>
      </w:r>
      <w:r>
        <w:t xml:space="preserve">“</w:t>
      </w:r>
      <w:r>
        <w:t xml:space="preserve">I trust the delegates to a modern Article Five convention to faithfully address the issue of the abuse of federal power. Only a hopelessly naive person would trust Congress with the same task.</w:t>
      </w:r>
      <w:r>
        <w:t xml:space="preserve">”</w:t>
      </w:r>
    </w:p>
    <w:bookmarkEnd w:id="27"/>
    <w:bookmarkEnd w:id="28"/>
    <w:bookmarkStart w:id="34" w:name="lessig-breaking-the-loop"/>
    <w:p>
      <w:pPr>
        <w:pStyle w:val="Heading1"/>
      </w:pPr>
      <w:r>
        <w:t xml:space="preserve">Lessig: breaking the loop</w:t>
      </w:r>
    </w:p>
    <w:bookmarkStart w:id="30" w:name="two-versions-of-the-runaway-fear"/>
    <w:p>
      <w:pPr>
        <w:pStyle w:val="Heading2"/>
      </w:pPr>
      <w:r>
        <w:t xml:space="preserve">Two versions of the runaway fear</w:t>
      </w:r>
    </w:p>
    <w:p>
      <w:pPr>
        <w:pStyle w:val="FirstParagraph"/>
      </w:pPr>
      <w:r>
        <w:t xml:space="preserve">Lessig said those who have debated this for years feel</w:t>
      </w:r>
      <w:r>
        <w:t xml:space="preserve"> </w:t>
      </w:r>
      <w:r>
        <w:t xml:space="preserve">“</w:t>
      </w:r>
      <w:r>
        <w:t xml:space="preserve">stuck in a loop,</w:t>
      </w:r>
      <w:r>
        <w:t xml:space="preserve">”</w:t>
      </w:r>
      <w:r>
        <w:t xml:space="preserve"> </w:t>
      </w:r>
      <w:r>
        <w:t xml:space="preserve">returning to the same first points. The goal of the conference was to open new ways of thinking, if not to resolve anything.</w:t>
      </w:r>
    </w:p>
    <w:p>
      <w:pPr>
        <w:pStyle w:val="BodyText"/>
      </w:pPr>
      <w:r>
        <w:t xml:space="preserve">He started with a remark from Common Cause at the previous night’s speakers’ dinner: Article V contains no rules for how a convention would work. True, he said, but the Constitution contains few rules for most of the government. Congress and the states have built the necessary rules on top of its sparse text.</w:t>
      </w:r>
    </w:p>
    <w:p>
      <w:pPr>
        <w:pStyle w:val="BodyText"/>
      </w:pPr>
      <w:r>
        <w:t xml:space="preserve">He then separated two versions of the runaway concern. The first is that a convention could change the ratification rules themselves. He played a clip of Robert Reich making that claim and called it</w:t>
      </w:r>
      <w:r>
        <w:t xml:space="preserve"> </w:t>
      </w:r>
      <w:r>
        <w:t xml:space="preserve">“</w:t>
      </w:r>
      <w:r>
        <w:t xml:space="preserve">flatly not true.</w:t>
      </w:r>
      <w:r>
        <w:t xml:space="preserve">”</w:t>
      </w:r>
      <w:r>
        <w:t xml:space="preserve"> </w:t>
      </w:r>
      <w:r>
        <w:t xml:space="preserve">The modern Constitution, unlike the Articles in 1787, requires Congress to call the convention, limits the convention to proposing amendments, and makes those amendments valid only on ratification by three-fourths of the states. Any attempt to change that would be struck down</w:t>
      </w:r>
      <w:r>
        <w:t xml:space="preserve"> </w:t>
      </w:r>
      <w:r>
        <w:t xml:space="preserve">“</w:t>
      </w:r>
      <w:r>
        <w:t xml:space="preserve">in a nanosecond,</w:t>
      </w:r>
      <w:r>
        <w:t xml:space="preserve">”</w:t>
      </w:r>
      <w:r>
        <w:t xml:space="preserve"> </w:t>
      </w:r>
      <w:r>
        <w:t xml:space="preserve">even by the current Supreme Court. He noted that Russ Feingold and Peter Prindiville no longer press this argument in their book against a convention.</w:t>
      </w:r>
      <w:r>
        <w:rPr>
          <w:rStyle w:val="FootnoteReference"/>
        </w:rPr>
        <w:footnoteReference w:id="29"/>
      </w:r>
    </w:p>
    <w:p>
      <w:pPr>
        <w:pStyle w:val="BodyText"/>
      </w:pPr>
      <w:r>
        <w:t xml:space="preserve">The second version is narrower: whether a convention called on one subject, such as fiscal responsibility, could propose amendments on another. This, he said, is</w:t>
      </w:r>
      <w:r>
        <w:t xml:space="preserve"> </w:t>
      </w:r>
      <w:r>
        <w:t xml:space="preserve">“</w:t>
      </w:r>
      <w:r>
        <w:t xml:space="preserve">a genuine and important question,</w:t>
      </w:r>
      <w:r>
        <w:t xml:space="preserve">”</w:t>
      </w:r>
      <w:r>
        <w:t xml:space="preserve"> </w:t>
      </w:r>
      <w:r>
        <w:t xml:space="preserve">and the concern behind it deserves respect.</w:t>
      </w:r>
    </w:p>
    <w:bookmarkEnd w:id="30"/>
    <w:bookmarkStart w:id="33" w:name="a-strategy-for-the-second-version"/>
    <w:p>
      <w:pPr>
        <w:pStyle w:val="Heading2"/>
      </w:pPr>
      <w:r>
        <w:t xml:space="preserve">A strategy for the second version</w:t>
      </w:r>
    </w:p>
    <w:p>
      <w:pPr>
        <w:pStyle w:val="FirstParagraph"/>
      </w:pPr>
      <w:r>
        <w:t xml:space="preserve">His answer had three parts.</w:t>
      </w:r>
    </w:p>
    <w:p>
      <w:pPr>
        <w:pStyle w:val="BodyText"/>
      </w:pPr>
      <w:r>
        <w:t xml:space="preserve">The first is binding delegates through state law. Here he drew on his own Supreme Court case,</w:t>
      </w:r>
      <w:r>
        <w:t xml:space="preserve"> </w:t>
      </w:r>
      <w:r>
        <w:rPr>
          <w:iCs/>
          <w:i/>
        </w:rPr>
        <w:t xml:space="preserve">Chiafalo v. Washington</w:t>
      </w:r>
      <w:r>
        <w:t xml:space="preserve">, in which he represented presidential electors who argued they had a constitutional right to vote their conscience.</w:t>
      </w:r>
      <w:r>
        <w:rPr>
          <w:rStyle w:val="FootnoteReference"/>
        </w:rPr>
        <w:footnoteReference w:id="31"/>
      </w:r>
      <w:r>
        <w:t xml:space="preserve"> </w:t>
      </w:r>
      <w:r>
        <w:t xml:space="preserve">He said the electors’ position rested on two arguments that also apply to convention delegates: that electors perform a federal function the states cannot control, and that the Electoral College was meant to be a deliberative body. The Court unanimously rejected those arguments and held that states may bind their electors. If states may control members of the expressly created Electoral College, he reasoned, they may control their delegates to an Article V convention. He acknowledged that people would fairly ask whether this is right, and pointed to the conference’s research chatbot, which describes the question as</w:t>
      </w:r>
      <w:r>
        <w:t xml:space="preserve"> </w:t>
      </w:r>
      <w:r>
        <w:t xml:space="preserve">“</w:t>
      </w:r>
      <w:r>
        <w:t xml:space="preserve">hotly contested.</w:t>
      </w:r>
      <w:r>
        <w:t xml:space="preserve">”</w:t>
      </w:r>
    </w:p>
    <w:p>
      <w:pPr>
        <w:pStyle w:val="BodyText"/>
      </w:pPr>
      <w:r>
        <w:t xml:space="preserve">The second part asks what the delegates should be bound to. The traditional answer is the state legislature. Lessig proposed something</w:t>
      </w:r>
      <w:r>
        <w:t xml:space="preserve"> </w:t>
      </w:r>
      <w:r>
        <w:t xml:space="preserve">“</w:t>
      </w:r>
      <w:r>
        <w:t xml:space="preserve">more democratically exciting</w:t>
      </w:r>
      <w:r>
        <w:t xml:space="preserve">”</w:t>
      </w:r>
      <w:r>
        <w:t xml:space="preserve">: citizens’ assemblies, meaning randomly selected, representative, informed groups of ordinary people who deliberate. A state could, for example, forbid its delegates to vote for any proposal that lacked the support of 60 percent of the state’s citizens’ assembly. He previewed the speakers who would describe such bodies, including Katrín Oddsdóttir from Iceland’s 2011 constitutional process and participants in Ireland’s assemblies.</w:t>
      </w:r>
    </w:p>
    <w:p>
      <w:pPr>
        <w:pStyle w:val="BodyText"/>
      </w:pPr>
      <w:r>
        <w:t xml:space="preserve">The third part addresses the problem that states would have to adopt such rules one by one. Thirteen states, acting together, could announce in advance that they will reject any amendment from a convention that is not</w:t>
      </w:r>
      <w:r>
        <w:t xml:space="preserve"> </w:t>
      </w:r>
      <w:r>
        <w:t xml:space="preserve">“</w:t>
      </w:r>
      <w:r>
        <w:t xml:space="preserve">democratically accountable,</w:t>
      </w:r>
      <w:r>
        <w:t xml:space="preserve">”</w:t>
      </w:r>
      <w:r>
        <w:t xml:space="preserve"> </w:t>
      </w:r>
      <w:r>
        <w:t xml:space="preserve">whether through referendum or citizens’ assemblies. Because thirteen states can block ratification, that pledge would give the convention a strong incentive to adopt the safeguards.</w:t>
      </w:r>
      <w:r>
        <w:rPr>
          <w:rStyle w:val="FootnoteReference"/>
        </w:rPr>
        <w:footnoteReference w:id="32"/>
      </w:r>
    </w:p>
    <w:p>
      <w:pPr>
        <w:pStyle w:val="BodyText"/>
      </w:pPr>
      <w:r>
        <w:t xml:space="preserve">He presented this not as a settled answer but as a way to</w:t>
      </w:r>
      <w:r>
        <w:t xml:space="preserve"> </w:t>
      </w:r>
      <w:r>
        <w:t xml:space="preserve">“</w:t>
      </w:r>
      <w:r>
        <w:t xml:space="preserve">tee up</w:t>
      </w:r>
      <w:r>
        <w:t xml:space="preserve">”</w:t>
      </w:r>
      <w:r>
        <w:t xml:space="preserve"> </w:t>
      </w:r>
      <w:r>
        <w:t xml:space="preserve">questions for the day. The underlying problem, he said, is bringing the Constitution up to date</w:t>
      </w:r>
      <w:r>
        <w:t xml:space="preserve"> </w:t>
      </w:r>
      <w:r>
        <w:t xml:space="preserve">“</w:t>
      </w:r>
      <w:r>
        <w:t xml:space="preserve">without relying on five justices of the Supreme Court to do that for us,</w:t>
      </w:r>
      <w:r>
        <w:t xml:space="preserve">”</w:t>
      </w:r>
      <w:r>
        <w:t xml:space="preserve"> </w:t>
      </w:r>
      <w:r>
        <w:t xml:space="preserve">and doing it in a way that renews the founding act of citizens ratifying their own constitution.</w:t>
      </w:r>
    </w:p>
    <w:bookmarkEnd w:id="33"/>
    <w:bookmarkEnd w:id="34"/>
    <w:bookmarkStart w:id="36" w:name="how-the-debate-stands-after-session-2"/>
    <w:p>
      <w:pPr>
        <w:pStyle w:val="Heading1"/>
      </w:pPr>
      <w:r>
        <w:t xml:space="preserve">How the debate stands after Session 2</w:t>
      </w:r>
    </w:p>
    <w:p>
      <w:pPr>
        <w:pStyle w:val="FirstParagraph"/>
      </w:pPr>
      <w:r>
        <w:t xml:space="preserve">The hosts’ talks narrowed the field. Both treated the claim that a convention could rewrite ratification rules as settled against the skeptics, and both located the real dispute in whether a convention would stay within its call. They offered different safeguards. Farris relied on state instructions to delegates, grounded in his reading of 1787. Lessig accepted state control but wanted it routed through randomly selected citizens rather than legislatures.</w:t>
      </w:r>
    </w:p>
    <w:p>
      <w:pPr>
        <w:pStyle w:val="BodyText"/>
      </w:pPr>
      <w:r>
        <w:t xml:space="preserve">Three features of Lessig’s strategy are worth flagging, because later sessions return to each.</w:t>
      </w:r>
    </w:p>
    <w:p>
      <w:pPr>
        <w:pStyle w:val="BodyText"/>
      </w:pPr>
      <w:r>
        <w:t xml:space="preserve">First, the</w:t>
      </w:r>
      <w:r>
        <w:t xml:space="preserve"> </w:t>
      </w:r>
      <w:r>
        <w:rPr>
          <w:iCs/>
          <w:i/>
        </w:rPr>
        <w:t xml:space="preserve">Chiafalo</w:t>
      </w:r>
      <w:r>
        <w:t xml:space="preserve"> </w:t>
      </w:r>
      <w:r>
        <w:t xml:space="preserve">analogy carries much of the weight, and it has a textual gap that opponents will press. The Court in</w:t>
      </w:r>
      <w:r>
        <w:t xml:space="preserve"> </w:t>
      </w:r>
      <w:r>
        <w:rPr>
          <w:iCs/>
          <w:i/>
        </w:rPr>
        <w:t xml:space="preserve">Chiafalo</w:t>
      </w:r>
      <w:r>
        <w:t xml:space="preserve"> </w:t>
      </w:r>
      <w:r>
        <w:t xml:space="preserve">relied on Article II’s grant to each state of power to appoint electors</w:t>
      </w:r>
      <w:r>
        <w:t xml:space="preserve"> </w:t>
      </w:r>
      <w:r>
        <w:t xml:space="preserve">“</w:t>
      </w:r>
      <w:r>
        <w:t xml:space="preserve">in such Manner as the Legislature thereof may direct,</w:t>
      </w:r>
      <w:r>
        <w:t xml:space="preserve">”</w:t>
      </w:r>
      <w:r>
        <w:t xml:space="preserve"> </w:t>
      </w:r>
      <w:r>
        <w:t xml:space="preserve">along with a long history of pledged electors.</w:t>
      </w:r>
      <w:r>
        <w:rPr>
          <w:rStyle w:val="FootnoteReference"/>
        </w:rPr>
        <w:footnoteReference w:id="35"/>
      </w:r>
      <w:r>
        <w:t xml:space="preserve"> </w:t>
      </w:r>
      <w:r>
        <w:t xml:space="preserve">Article V contains no comparable grant concerning convention delegates. Proponents will answer that the power to choose delegates implies the power to set conditions on them. That answer is plausible, but it is an inference, not a holding.</w:t>
      </w:r>
    </w:p>
    <w:p>
      <w:pPr>
        <w:pStyle w:val="BodyText"/>
      </w:pPr>
      <w:r>
        <w:t xml:space="preserve">Second, every element of the strategy runs through the state legislatures. The legislatures would have to pass the binding laws, create or defer to the citizens’ assemblies, and adopt the preemptive rejection resolutions. The strategy is a way of channeling legislative power toward the people. It does not bypass the legislatures.</w:t>
      </w:r>
    </w:p>
    <w:p>
      <w:pPr>
        <w:pStyle w:val="BodyText"/>
      </w:pPr>
      <w:r>
        <w:t xml:space="preserve">Third, the strategy depends on courts in two directions. It relies on courts to enforce Article V’s ratification rules and to uphold state binding laws, while much of the pro-convention case assumes courts will otherwise stay out. The skeptics’ panel later in the day would attack exactly this point.</w:t>
      </w:r>
    </w:p>
    <w:tbl>
      <w:tblPr>
        <w:tblStyle w:val="Table"/>
        <w:tblW w:type="pct" w:w="5000"/>
        <w:tblLook w:firstRow="1" w:lastRow="0" w:firstColumn="0" w:lastColumn="0" w:noHBand="0" w:noVBand="0" w:val="0020"/>
        <w:jc w:val="start"/>
      </w:tblPr>
      <w:tblGrid>
        <w:gridCol w:w="2112"/>
        <w:gridCol w:w="5808"/>
      </w:tblGrid>
      <w:tr>
        <w:trPr>
          <w:tblHeader w:val="true"/>
        </w:trPr>
        <w:tc>
          <w:tcPr/>
          <w:p>
            <w:pPr>
              <w:pStyle w:val="Compact"/>
              <w:jc w:val="left"/>
            </w:pPr>
            <w:r>
              <w:t xml:space="preserve">Question</w:t>
            </w:r>
          </w:p>
        </w:tc>
        <w:tc>
          <w:tcPr/>
          <w:p>
            <w:pPr>
              <w:pStyle w:val="Compact"/>
              <w:jc w:val="left"/>
            </w:pPr>
            <w:r>
              <w:t xml:space="preserve">Where it stands after Session 2</w:t>
            </w:r>
          </w:p>
        </w:tc>
      </w:tr>
      <w:tr>
        <w:tc>
          <w:tcPr/>
          <w:p>
            <w:pPr>
              <w:pStyle w:val="Compact"/>
              <w:jc w:val="left"/>
            </w:pPr>
            <w:r>
              <w:t xml:space="preserve">Is a convention a legitimate American tool?</w:t>
            </w:r>
          </w:p>
        </w:tc>
        <w:tc>
          <w:tcPr/>
          <w:p>
            <w:pPr>
              <w:pStyle w:val="Compact"/>
              <w:jc w:val="left"/>
            </w:pPr>
            <w:r>
              <w:t xml:space="preserve">Farris: it was designed to check federal abuse that Congress will not correct, and it already prodded the Bill of Rights. Dean Goldberg framed Article V as the peaceful alternative to upheaval.</w:t>
            </w:r>
          </w:p>
        </w:tc>
      </w:tr>
      <w:tr>
        <w:tc>
          <w:tcPr/>
          <w:p>
            <w:pPr>
              <w:pStyle w:val="Compact"/>
              <w:jc w:val="left"/>
            </w:pPr>
            <w:r>
              <w:t xml:space="preserve">Can a convention be held to its subject?</w:t>
            </w:r>
          </w:p>
        </w:tc>
        <w:tc>
          <w:tcPr/>
          <w:p>
            <w:pPr>
              <w:pStyle w:val="Compact"/>
              <w:jc w:val="left"/>
            </w:pPr>
            <w:r>
              <w:t xml:space="preserve">Now the central question. Lessig dismissed the threat to ratification rules and conceded the scope question is real. Farris argued Philadelphia obeyed its states’ instructions.</w:t>
            </w:r>
          </w:p>
        </w:tc>
      </w:tr>
      <w:tr>
        <w:tc>
          <w:tcPr/>
          <w:p>
            <w:pPr>
              <w:pStyle w:val="Compact"/>
              <w:jc w:val="left"/>
            </w:pPr>
            <w:r>
              <w:t xml:space="preserve">Who would serve, and how would they be chosen?</w:t>
            </w:r>
          </w:p>
        </w:tc>
        <w:tc>
          <w:tcPr/>
          <w:p>
            <w:pPr>
              <w:pStyle w:val="Compact"/>
              <w:jc w:val="left"/>
            </w:pPr>
            <w:r>
              <w:t xml:space="preserve">Assumed to be a state matter. Lessig proposed tying delegates to citizens’ assemblies rather than to legislatures.</w:t>
            </w:r>
          </w:p>
        </w:tc>
      </w:tr>
      <w:tr>
        <w:tc>
          <w:tcPr/>
          <w:p>
            <w:pPr>
              <w:pStyle w:val="Compact"/>
              <w:jc w:val="left"/>
            </w:pPr>
            <w:r>
              <w:t xml:space="preserve">How would delegates be held to their mandate?</w:t>
            </w:r>
          </w:p>
        </w:tc>
        <w:tc>
          <w:tcPr/>
          <w:p>
            <w:pPr>
              <w:pStyle w:val="Compact"/>
              <w:jc w:val="left"/>
            </w:pPr>
            <w:r>
              <w:t xml:space="preserve">Through state law, on the analogy of</w:t>
            </w:r>
            <w:r>
              <w:t xml:space="preserve"> </w:t>
            </w:r>
            <w:r>
              <w:rPr>
                <w:iCs/>
                <w:i/>
              </w:rPr>
              <w:t xml:space="preserve">Chiafalo</w:t>
            </w:r>
            <w:r>
              <w:t xml:space="preserve">. The textual basis is weaker than for electors.</w:t>
            </w:r>
          </w:p>
        </w:tc>
      </w:tr>
      <w:tr>
        <w:tc>
          <w:tcPr/>
          <w:p>
            <w:pPr>
              <w:pStyle w:val="Compact"/>
              <w:jc w:val="left"/>
            </w:pPr>
            <w:r>
              <w:t xml:space="preserve">Is ratification by 38 states a sufficient safeguard?</w:t>
            </w:r>
          </w:p>
        </w:tc>
        <w:tc>
          <w:tcPr/>
          <w:p>
            <w:pPr>
              <w:pStyle w:val="Compact"/>
              <w:jc w:val="left"/>
            </w:pPr>
            <w:r>
              <w:t xml:space="preserve">Treated by both hosts as firm. Lessig added a 13-state preemptive veto to force democratic safeguards.</w:t>
            </w:r>
          </w:p>
        </w:tc>
      </w:tr>
      <w:tr>
        <w:tc>
          <w:tcPr/>
          <w:p>
            <w:pPr>
              <w:pStyle w:val="Compact"/>
              <w:jc w:val="left"/>
            </w:pPr>
            <w:r>
              <w:t xml:space="preserve">Who decides disputes?</w:t>
            </w:r>
          </w:p>
        </w:tc>
        <w:tc>
          <w:tcPr/>
          <w:p>
            <w:pPr>
              <w:pStyle w:val="Compact"/>
              <w:jc w:val="left"/>
            </w:pPr>
            <w:r>
              <w:t xml:space="preserve">Lessig assumed courts would enforce Article V’s text. Not yet contested.</w:t>
            </w:r>
          </w:p>
        </w:tc>
      </w:tr>
      <w:tr>
        <w:tc>
          <w:tcPr/>
          <w:p>
            <w:pPr>
              <w:pStyle w:val="Compact"/>
              <w:jc w:val="left"/>
            </w:pPr>
            <w:r>
              <w:t xml:space="preserve">Can Americans deliberate well enough?</w:t>
            </w:r>
          </w:p>
        </w:tc>
        <w:tc>
          <w:tcPr/>
          <w:p>
            <w:pPr>
              <w:pStyle w:val="Compact"/>
              <w:jc w:val="left"/>
            </w:pPr>
            <w:r>
              <w:t xml:space="preserve">Lepore doubted it the night before. Lessig’s strategy assumes randomly selected citizens can.</w:t>
            </w:r>
          </w:p>
        </w:tc>
      </w:tr>
    </w:tbl>
    <w:bookmarkEnd w:id="36"/>
    <w:sectPr/>
    <w:sectPr>
      <w:footerReference w:type="default" r:id="rIdFtr1"/>
      <w:pgSz w:w="12240" w:h="15840"/>
      <w:pgMar w:top="1440" w:right="1440" w:bottom="1440" w:left="1440" w:header="720" w:footer="600"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w="http://schemas.openxmlformats.org/wordprocessingml/2006/main" xmlns:r="http://schemas.openxmlformats.org/officeDocument/2006/relationships">
  <w:p>
    <w:pPr>
      <w:jc w:val="center"/>
    </w:pPr>
    <w:r>
      <w:rPr>
        <w:sz w:val="17"/>
        <w:color w:val="777777"/>
      </w:rPr>
      <w:t xml:space="preserve">V the People Conference Summaries  ·  </w:t>
    </w:r>
    <w:r>
      <w:rPr>
        <w:sz w:val="17"/>
        <w:color w:val="777777"/>
      </w:rPr>
      <w:fldChar w:fldCharType="begin"/>
    </w:r>
    <w:r>
      <w:rPr>
        <w:sz w:val="17"/>
        <w:color w:val="777777"/>
      </w:rPr>
      <w:instrText xml:space="preserve"> PAGE </w:instrText>
    </w:r>
    <w:r>
      <w:rPr>
        <w:sz w:val="17"/>
        <w:color w:val="777777"/>
      </w:rPr>
      <w:fldChar w:fldCharType="separate"/>
    </w:r>
    <w:r>
      <w:rPr>
        <w:sz w:val="17"/>
        <w:color w:val="777777"/>
      </w:rPr>
      <w:t>1</w:t>
    </w:r>
    <w:r>
      <w:rPr>
        <w:sz w:val="17"/>
        <w:color w:val="777777"/>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This summary is based on the automated transcript of the session. Transcript, Saturday Opening Remarks, V the People Conference, Harvard Law School (Oct. 3, 2026) (on file with the conference organizers). The transcript file is labeled only</w:t>
      </w:r>
      <w:r>
        <w:t xml:space="preserve"> </w:t>
      </w:r>
      <w:r>
        <w:t xml:space="preserve">“</w:t>
      </w:r>
      <w:r>
        <w:t xml:space="preserve">02.</w:t>
      </w:r>
      <w:r>
        <w:t xml:space="preserve">”</w:t>
      </w:r>
      <w:r>
        <w:t xml:space="preserve"> </w:t>
      </w:r>
      <w:r>
        <w:t xml:space="preserve">Quotations are lightly corrected for obvious transcription errors, and names are corrected against the conference roster.</w:t>
      </w:r>
    </w:p>
  </w:footnote>
  <w:footnote w:id="22">
    <w:p>
      <w:pPr>
        <w:pStyle w:val="FootnoteText"/>
      </w:pPr>
      <w:r>
        <w:rPr>
          <w:rStyle w:val="FootnoteReference"/>
        </w:rPr>
        <w:footnoteRef/>
      </w:r>
      <w:r>
        <w:t xml:space="preserve"> </w:t>
      </w:r>
      <w:r>
        <w:rPr>
          <w:iCs/>
          <w:i/>
        </w:rPr>
        <w:t xml:space="preserve">See</w:t>
      </w:r>
      <w:r>
        <w:t xml:space="preserve"> </w:t>
      </w:r>
      <w:r>
        <w:t xml:space="preserve">Michael J. Klarman, The Framers’ Coup: The Making of the United States Constitution (2016).</w:t>
      </w:r>
    </w:p>
  </w:footnote>
  <w:footnote w:id="24">
    <w:p>
      <w:pPr>
        <w:pStyle w:val="FootnoteText"/>
      </w:pPr>
      <w:r>
        <w:rPr>
          <w:rStyle w:val="FootnoteReference"/>
        </w:rPr>
        <w:footnoteRef/>
      </w:r>
      <w:r>
        <w:t xml:space="preserve"> </w:t>
      </w:r>
      <w:r>
        <w:t xml:space="preserve">Citizens United v. FEC, 558 U.S. 310 (2010).</w:t>
      </w:r>
    </w:p>
  </w:footnote>
  <w:footnote w:id="26">
    <w:p>
      <w:pPr>
        <w:pStyle w:val="FootnoteText"/>
      </w:pPr>
      <w:r>
        <w:rPr>
          <w:rStyle w:val="FootnoteReference"/>
        </w:rPr>
        <w:footnoteRef/>
      </w:r>
      <w:r>
        <w:t xml:space="preserve"> </w:t>
      </w:r>
      <w:r>
        <w:t xml:space="preserve">Michael Farris,</w:t>
      </w:r>
      <w:r>
        <w:t xml:space="preserve"> </w:t>
      </w:r>
      <w:r>
        <w:rPr>
          <w:iCs/>
          <w:i/>
        </w:rPr>
        <w:t xml:space="preserve">Defying Conventional Wisdom: The Constitution Was Not the Product of a Runaway Convention</w:t>
      </w:r>
      <w:r>
        <w:t xml:space="preserve">, 40 Harv. J.L. &amp; Pub. Pol’y 61 (2017);</w:t>
      </w:r>
      <w:r>
        <w:t xml:space="preserve"> </w:t>
      </w:r>
      <w:r>
        <w:rPr>
          <w:iCs/>
          <w:i/>
        </w:rPr>
        <w:t xml:space="preserve">see also</w:t>
      </w:r>
      <w:r>
        <w:t xml:space="preserve"> </w:t>
      </w:r>
      <w:r>
        <w:t xml:space="preserve">The Federalist No. 40 (James Madison).</w:t>
      </w:r>
    </w:p>
  </w:footnote>
  <w:footnote w:id="29">
    <w:p>
      <w:pPr>
        <w:pStyle w:val="FootnoteText"/>
      </w:pPr>
      <w:r>
        <w:rPr>
          <w:rStyle w:val="FootnoteReference"/>
        </w:rPr>
        <w:footnoteRef/>
      </w:r>
      <w:r>
        <w:t xml:space="preserve"> </w:t>
      </w:r>
      <w:r>
        <w:t xml:space="preserve">Russ Feingold &amp; Peter Prindiville, The Constitution in Jeopardy: An Unprecedented Effort to Rewrite Our Fundamental Law and What We Can Do About It (2022).</w:t>
      </w:r>
    </w:p>
  </w:footnote>
  <w:footnote w:id="31">
    <w:p>
      <w:pPr>
        <w:pStyle w:val="FootnoteText"/>
      </w:pPr>
      <w:r>
        <w:rPr>
          <w:rStyle w:val="FootnoteReference"/>
        </w:rPr>
        <w:footnoteRef/>
      </w:r>
      <w:r>
        <w:t xml:space="preserve"> </w:t>
      </w:r>
      <w:r>
        <w:t xml:space="preserve">Chiafalo v. Washington, 591 U.S. 578 (2020);</w:t>
      </w:r>
      <w:r>
        <w:t xml:space="preserve"> </w:t>
      </w:r>
      <w:r>
        <w:rPr>
          <w:iCs/>
          <w:i/>
        </w:rPr>
        <w:t xml:space="preserve">see also</w:t>
      </w:r>
      <w:r>
        <w:t xml:space="preserve"> </w:t>
      </w:r>
      <w:r>
        <w:t xml:space="preserve">Colo. Dep’t of State v. Baca, 591 U.S. 655 (2020) (per curiam); U.S. Const. art. II, § 1, cl. 2.</w:t>
      </w:r>
    </w:p>
  </w:footnote>
  <w:footnote w:id="32">
    <w:p>
      <w:pPr>
        <w:pStyle w:val="FootnoteText"/>
      </w:pPr>
      <w:r>
        <w:rPr>
          <w:rStyle w:val="FootnoteReference"/>
        </w:rPr>
        <w:footnoteRef/>
      </w:r>
      <w:r>
        <w:t xml:space="preserve"> </w:t>
      </w:r>
      <w:r>
        <w:t xml:space="preserve">The conference website’s FAQ sets out the same strategy under the heading</w:t>
      </w:r>
      <w:r>
        <w:t xml:space="preserve"> </w:t>
      </w:r>
      <w:r>
        <w:t xml:space="preserve">“</w:t>
      </w:r>
      <w:r>
        <w:t xml:space="preserve">The Three-Pillar Strategy</w:t>
      </w:r>
      <w:r>
        <w:t xml:space="preserve">”</w:t>
      </w:r>
      <w:r>
        <w:t xml:space="preserve">: delegate binding, citizens’ assemblies, and preemptive rejection. V the People,</w:t>
      </w:r>
      <w:r>
        <w:t xml:space="preserve"> </w:t>
      </w:r>
      <w:r>
        <w:rPr>
          <w:iCs/>
          <w:i/>
        </w:rPr>
        <w:t xml:space="preserve">FAQ</w:t>
      </w:r>
      <w:r>
        <w:t xml:space="preserve">, https://vthepeople.org/faq.html (last visited Oct. 19, 2026). Lessig first set out a version of it in Lawrence Lessig,</w:t>
      </w:r>
      <w:r>
        <w:t xml:space="preserve"> </w:t>
      </w:r>
      <w:r>
        <w:rPr>
          <w:iCs/>
          <w:i/>
        </w:rPr>
        <w:t xml:space="preserve">Making a Constitutional Convention Safe for Democracy</w:t>
      </w:r>
      <w:r>
        <w:t xml:space="preserve">, N.Y. Rev. Books (Apr. 17, 2023).</w:t>
      </w:r>
    </w:p>
  </w:footnote>
  <w:footnote w:id="35">
    <w:p>
      <w:pPr>
        <w:pStyle w:val="FootnoteText"/>
      </w:pPr>
      <w:r>
        <w:rPr>
          <w:rStyle w:val="FootnoteReference"/>
        </w:rPr>
        <w:footnoteRef/>
      </w:r>
      <w:r>
        <w:t xml:space="preserve"> </w:t>
      </w:r>
      <w:r>
        <w:rPr>
          <w:iCs/>
          <w:i/>
        </w:rPr>
        <w:t xml:space="preserve">Chiafalo</w:t>
      </w:r>
      <w:r>
        <w:t xml:space="preserve">, 591 U.S. 578.</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276" w:lineRule="auto"/>
    </w:pPr>
    <w:rPr>
      <w:rFonts w:ascii="Georgia" w:cs="Georgia" w:eastAsia="Georgia" w:hAnsi="Georgia"/>
      <w:color w:val="222222"/>
      <w:sz w:val="22"/>
      <w:szCs w:val="22"/>
    </w:rPr>
  </w:style>
  <w:style w:styleId="BodyText" w:type="paragraph">
    <w:name w:val="Body Text"/>
    <w:basedOn w:val="Normal"/>
    <w:link w:val="BodyTextChar"/>
    <w:qFormat/>
    <w:pPr>
      <w:spacing w:after="160" w:before="0" w:line="288" w:lineRule="auto"/>
    </w:pPr>
  </w:style>
  <w:style w:customStyle="1" w:styleId="FirstParagraph" w:type="paragraph">
    <w:name w:val="First Paragraph"/>
    <w:basedOn w:val="BodyText"/>
    <w:next w:val="BodyText"/>
    <w:qFormat/>
  </w:style>
  <w:style w:customStyle="1" w:styleId="Compact" w:type="paragraph">
    <w:name w:val="Compact"/>
    <w:basedOn w:val="BodyText"/>
    <w:qFormat/>
    <w:pPr>
      <w:spacing w:after="40" w:before="40" w:line="252" w:lineRule="auto"/>
    </w:pPr>
    <w:rPr>
      <w:sz w:val="19"/>
      <w:szCs w:val="19"/>
    </w:rPr>
  </w:style>
  <w:style w:styleId="Title" w:type="paragraph">
    <w:name w:val="Title"/>
    <w:basedOn w:val="Normal"/>
    <w:next w:val="BodyText"/>
    <w:qFormat/>
    <w:pPr>
      <w:keepNext/>
      <w:keepLines/>
      <w:spacing w:after="80" w:before="0"/>
    </w:pPr>
    <w:rPr>
      <w:rFonts w:ascii="Georgia" w:cs="Georgia" w:eastAsia="Georgia" w:hAnsi="Georgia"/>
      <w:b/>
      <w:color w:val="1F3A5F"/>
      <w:sz w:val="40"/>
      <w:szCs w:val="40"/>
    </w:rPr>
  </w:style>
  <w:style w:styleId="Subtitle" w:type="paragraph">
    <w:name w:val="Subtitle"/>
    <w:basedOn w:val="Normal"/>
    <w:next w:val="BodyText"/>
    <w:qFormat/>
    <w:pPr>
      <w:keepNext/>
      <w:spacing w:after="240" w:before="0"/>
      <w:pBdr>
        <w:bottom w:color="1F3A5F" w:space="8" w:sz="6" w:val="single"/>
      </w:pBdr>
    </w:pPr>
    <w:rPr>
      <w:rFonts w:ascii="Georgia" w:cs="Georgia" w:eastAsia="Georgia" w:hAnsi="Georgia"/>
      <w:i/>
      <w:color w:val="555555"/>
      <w:sz w:val="22"/>
      <w:szCs w:val="22"/>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20" w:before="320"/>
      <w:outlineLvl w:val="0"/>
    </w:pPr>
    <w:rPr>
      <w:rFonts w:ascii="Georgia" w:cs="Georgia" w:eastAsia="Georgia" w:hAnsi="Georgia"/>
      <w:b/>
      <w:color w:val="1F3A5F"/>
      <w:sz w:val="28"/>
      <w:szCs w:val="28"/>
    </w:rPr>
  </w:style>
  <w:style w:styleId="Heading2" w:type="paragraph">
    <w:name w:val="heading 2"/>
    <w:basedOn w:val="Normal"/>
    <w:next w:val="BodyText"/>
    <w:uiPriority w:val="9"/>
    <w:unhideWhenUsed/>
    <w:qFormat/>
    <w:pPr>
      <w:keepNext/>
      <w:keepLines/>
      <w:spacing w:after="80" w:before="240"/>
      <w:outlineLvl w:val="1"/>
    </w:pPr>
    <w:rPr>
      <w:rFonts w:ascii="Georgia" w:cs="Georgia" w:eastAsia="Georgia" w:hAnsi="Georgia"/>
      <w:b/>
      <w:i/>
      <w:color w:val="1F3A5F"/>
      <w:sz w:val="23"/>
      <w:szCs w:val="23"/>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pPr>
      <w:spacing w:after="60" w:line="240" w:lineRule="auto"/>
    </w:pPr>
    <w:rPr>
      <w:sz w:val="18"/>
      <w:szCs w:val="18"/>
    </w:r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1F3A5F" w:space="0" w:sz="6" w:val="single"/>
        <w:bottom w:color="1F3A5F" w:space="0" w:sz="6" w:val="single"/>
        <w:insideH w:color="C8CED6" w:space="0" w:sz="4" w:val="single"/>
      </w:tblBorders>
      <w:tblCellMar>
        <w:top w:type="dxa" w:w="60"/>
        <w:left w:type="dxa" w:w="100"/>
        <w:bottom w:type="dxa" w:w="60"/>
        <w:right w:type="dxa" w:w="100"/>
      </w:tblCellMar>
    </w:tblPr>
    <w:tblStylePr w:type="firstRow">
      <w:rPr>
        <w:b/>
        <w:color w:val="1F3A5F"/>
      </w:rPr>
      <w:tblPr/>
      <w:tcPr>
        <w:shd w:color="auto" w:fill="EEF2F6"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Ftr1" Type="http://schemas.openxmlformats.org/officeDocument/2006/relationships/footer" Target="footer1.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2: Saturday Opening Remarks</dc:title>
  <dc:creator/>
  <cp:keywords/>
  <dcterms:created xsi:type="dcterms:W3CDTF">2026-10-19T14:17:03Z</dcterms:created>
  <dcterms:modified xsi:type="dcterms:W3CDTF">2026-10-19T14:17:03Z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