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1:</w:t>
      </w:r>
      <w:r>
        <w:t xml:space="preserve"> </w:t>
      </w:r>
      <w:r>
        <w:t xml:space="preserve">Opening</w:t>
      </w:r>
      <w:r>
        <w:t xml:space="preserve"> </w:t>
      </w:r>
      <w:r>
        <w:t xml:space="preserve">Remarks</w:t>
      </w:r>
      <w:r>
        <w:t xml:space="preserve"> </w:t>
      </w:r>
      <w:r>
        <w:t xml:space="preserve">and</w:t>
      </w:r>
      <w:r>
        <w:t xml:space="preserve"> </w:t>
      </w:r>
      <w:r>
        <w:t xml:space="preserve">Keynote</w:t>
      </w:r>
      <w:r>
        <w:t xml:space="preserve"> </w:t>
      </w:r>
      <w:r>
        <w:t xml:space="preserve">Address</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Friday,</w:t>
      </w:r>
      <w:r>
        <w:t xml:space="preserve"> </w:t>
      </w:r>
      <w:r>
        <w:t xml:space="preserve">October</w:t>
      </w:r>
      <w:r>
        <w:t xml:space="preserve"> </w:t>
      </w:r>
      <w:r>
        <w:t xml:space="preserve">2,</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Opening remarks, 4:45 p.m.; keynote, 5:15 p.m.</w:t>
            </w:r>
          </w:p>
        </w:tc>
      </w:tr>
      <w:tr>
        <w:tc>
          <w:tcPr/>
          <w:p>
            <w:pPr>
              <w:pStyle w:val="Compact"/>
              <w:jc w:val="left"/>
            </w:pPr>
            <w:r>
              <w:t xml:space="preserve">Speakers</w:t>
            </w:r>
          </w:p>
        </w:tc>
        <w:tc>
          <w:tcPr/>
          <w:p>
            <w:pPr>
              <w:pStyle w:val="Compact"/>
              <w:jc w:val="left"/>
            </w:pPr>
            <w:r>
              <w:t xml:space="preserve">Lawrence Lessig, Roy L. Furman Professor of Law and Leadership, Harvard Law School. Michael Farris, Co-Founder and Senior Advisor, Convention of States Project. Jill Lepore, David Woods Kemper ’41 Professor of American History, Harvard University, and staff writer,</w:t>
            </w:r>
            <w:r>
              <w:t xml:space="preserve"> </w:t>
            </w:r>
            <w:r>
              <w:rPr>
                <w:iCs/>
                <w:i/>
              </w:rPr>
              <w:t xml:space="preserve">The New Yorker</w:t>
            </w:r>
            <w:r>
              <w:t xml:space="preserve">.</w:t>
            </w:r>
          </w:p>
        </w:tc>
      </w:tr>
      <w:tr>
        <w:tc>
          <w:tcPr/>
          <w:p>
            <w:pPr>
              <w:pStyle w:val="Compact"/>
              <w:jc w:val="left"/>
            </w:pPr>
            <w:r>
              <w:t xml:space="preserve">Recording</w:t>
            </w:r>
          </w:p>
        </w:tc>
        <w:tc>
          <w:tcPr/>
          <w:p>
            <w:pPr>
              <w:pStyle w:val="Compact"/>
              <w:jc w:val="left"/>
            </w:pPr>
            <w:r>
              <w:t xml:space="preserve">About 74 minutes, including questions</w:t>
            </w:r>
          </w:p>
        </w:tc>
      </w:tr>
    </w:tbl>
    <w:bookmarkStart w:id="21" w:name="in-brief"/>
    <w:p>
      <w:pPr>
        <w:pStyle w:val="Heading1"/>
      </w:pPr>
      <w:r>
        <w:t xml:space="preserve">In brief</w:t>
      </w:r>
    </w:p>
    <w:p>
      <w:pPr>
        <w:pStyle w:val="FirstParagraph"/>
      </w:pPr>
      <w:r>
        <w:t xml:space="preserve">The conference opened on a premise and a request. The premise, stated by Lessig and accepted by Farris, was that the live question is no longer whether the Constitution needs amendment but how amendments can be achieved. The request was for decency toward opponents of a convention, whose fear of an untried process Lessig called</w:t>
      </w:r>
      <w:r>
        <w:t xml:space="preserve"> </w:t>
      </w:r>
      <w:r>
        <w:t xml:space="preserve">“</w:t>
      </w:r>
      <w:r>
        <w:t xml:space="preserve">a fair concern.</w:t>
      </w:r>
      <w:r>
        <w:t xml:space="preserve">”</w:t>
      </w:r>
      <w:r>
        <w:rPr>
          <w:rStyle w:val="FootnoteReference"/>
        </w:rPr>
        <w:footnoteReference w:id="20"/>
      </w:r>
    </w:p>
    <w:p>
      <w:pPr>
        <w:pStyle w:val="BodyText"/>
      </w:pPr>
      <w:r>
        <w:t xml:space="preserve">Jill Lepore then supplied the history the rest of the conference would argue over. Conventions, she said, are an American invention and were for a century the country’s main tool of constitutional change, almost entirely at the state level. They democratized the states. They also wrote racial exclusion into state constitutions. Since the late 1970s the tradition has collapsed into what scholars call</w:t>
      </w:r>
      <w:r>
        <w:t xml:space="preserve"> </w:t>
      </w:r>
      <w:r>
        <w:t xml:space="preserve">“</w:t>
      </w:r>
      <w:r>
        <w:t xml:space="preserve">convention phobia,</w:t>
      </w:r>
      <w:r>
        <w:t xml:space="preserve">”</w:t>
      </w:r>
      <w:r>
        <w:t xml:space="preserve"> </w:t>
      </w:r>
      <w:r>
        <w:t xml:space="preserve">a fear that has tracked partisan views of the Supreme Court as much as principle. Her talk left the conference with two stakes in tension: a convention has deep American roots, and Americans may no longer have the deliberative habits a convention requires.</w:t>
      </w:r>
    </w:p>
    <w:bookmarkEnd w:id="21"/>
    <w:bookmarkStart w:id="27" w:name="context"/>
    <w:p>
      <w:pPr>
        <w:pStyle w:val="Heading1"/>
      </w:pPr>
      <w:r>
        <w:t xml:space="preserve">Context</w:t>
      </w:r>
    </w:p>
    <w:p>
      <w:pPr>
        <w:pStyle w:val="FirstParagraph"/>
      </w:pPr>
      <w:r>
        <w:t xml:space="preserve">Article V provides two routes to amendment. Congress may propose amendments by a two-thirds vote of both houses. Or,</w:t>
      </w:r>
      <w:r>
        <w:t xml:space="preserve"> </w:t>
      </w:r>
      <w:r>
        <w:t xml:space="preserve">“</w:t>
      </w:r>
      <w:r>
        <w:t xml:space="preserve">on the Application of the Legislatures of two thirds of the several States,</w:t>
      </w:r>
      <w:r>
        <w:t xml:space="preserve">”</w:t>
      </w:r>
      <w:r>
        <w:t xml:space="preserve"> </w:t>
      </w:r>
      <w:r>
        <w:t xml:space="preserve">Congress</w:t>
      </w:r>
      <w:r>
        <w:t xml:space="preserve"> </w:t>
      </w:r>
      <w:r>
        <w:t xml:space="preserve">“</w:t>
      </w:r>
      <w:r>
        <w:t xml:space="preserve">shall call a Convention for proposing Amendments.</w:t>
      </w:r>
      <w:r>
        <w:t xml:space="preserve">”</w:t>
      </w:r>
      <w:r>
        <w:t xml:space="preserve"> </w:t>
      </w:r>
      <w:r>
        <w:t xml:space="preserve">Either way, an amendment becomes part of the Constitution only when ratified by three-fourths of the states, through their legislatures or through state ratifying conventions,</w:t>
      </w:r>
      <w:r>
        <w:t xml:space="preserve"> </w:t>
      </w:r>
      <w:r>
        <w:t xml:space="preserve">“</w:t>
      </w:r>
      <w:r>
        <w:t xml:space="preserve">as the one or the other Mode of Ratification may be proposed by the Congress.</w:t>
      </w:r>
      <w:r>
        <w:t xml:space="preserve">”</w:t>
      </w:r>
      <w:r>
        <w:rPr>
          <w:rStyle w:val="FootnoteReference"/>
        </w:rPr>
        <w:footnoteReference w:id="22"/>
      </w:r>
      <w:r>
        <w:t xml:space="preserve"> </w:t>
      </w:r>
      <w:r>
        <w:t xml:space="preserve">With fifty states, that means 34 applications to call a convention and 38 states to ratify what it proposes. All 27 amendments have come through Congress. The convention route has never been used.</w:t>
      </w:r>
      <w:r>
        <w:rPr>
          <w:rStyle w:val="FootnoteReference"/>
        </w:rPr>
        <w:footnoteReference w:id="23"/>
      </w:r>
    </w:p>
    <w:p>
      <w:pPr>
        <w:pStyle w:val="BodyText"/>
      </w:pPr>
      <w:r>
        <w:t xml:space="preserve">The conference grew out of a seminar on amending the Constitution by convention that Lessig taught with Sanford Levinson, and its students designed and ran the event. It deliberately echoed a 2011 Harvard conference Lessig co-hosted with Mark Meckler, then a leader of Tea Party Patriots, who later co-founded the Convention of States Project with Farris.</w:t>
      </w:r>
      <w:r>
        <w:rPr>
          <w:rStyle w:val="FootnoteReference"/>
        </w:rPr>
        <w:footnoteReference w:id="24"/>
      </w:r>
      <w:r>
        <w:t xml:space="preserve"> </w:t>
      </w:r>
      <w:r>
        <w:t xml:space="preserve">The organizers described the 2026 meeting as an effort to bring supporters and skeptics together across the political spectrum to ask whether the convention route can be used</w:t>
      </w:r>
      <w:r>
        <w:t xml:space="preserve"> </w:t>
      </w:r>
      <w:r>
        <w:t xml:space="preserve">“</w:t>
      </w:r>
      <w:r>
        <w:t xml:space="preserve">responsibly, safely, and legitimately.</w:t>
      </w:r>
      <w:r>
        <w:t xml:space="preserve">”</w:t>
      </w:r>
      <w:r>
        <w:t xml:space="preserve"> </w:t>
      </w:r>
      <w:r>
        <w:t xml:space="preserve">The</w:t>
      </w:r>
      <w:r>
        <w:t xml:space="preserve"> </w:t>
      </w:r>
      <w:r>
        <w:rPr>
          <w:iCs/>
          <w:i/>
        </w:rPr>
        <w:t xml:space="preserve">Harvard Journal on Legislation</w:t>
      </w:r>
      <w:r>
        <w:t xml:space="preserve"> </w:t>
      </w:r>
      <w:r>
        <w:t xml:space="preserve">is a partner and will publish essays from the panelists.</w:t>
      </w:r>
      <w:r>
        <w:rPr>
          <w:rStyle w:val="FootnoteReference"/>
        </w:rPr>
        <w:footnoteReference w:id="25"/>
      </w:r>
    </w:p>
    <w:p>
      <w:pPr>
        <w:pStyle w:val="BodyText"/>
      </w:pPr>
      <w:r>
        <w:t xml:space="preserve">A few terms recur throughout these summaries. An</w:t>
      </w:r>
      <w:r>
        <w:t xml:space="preserve"> </w:t>
      </w:r>
      <w:r>
        <w:rPr>
          <w:iCs/>
          <w:i/>
        </w:rPr>
        <w:t xml:space="preserve">application</w:t>
      </w:r>
      <w:r>
        <w:t xml:space="preserve"> </w:t>
      </w:r>
      <w:r>
        <w:t xml:space="preserve">is a state legislature’s formal request that Congress call a convention. A</w:t>
      </w:r>
      <w:r>
        <w:t xml:space="preserve"> </w:t>
      </w:r>
      <w:r>
        <w:rPr>
          <w:iCs/>
          <w:i/>
        </w:rPr>
        <w:t xml:space="preserve">runaway convention</w:t>
      </w:r>
      <w:r>
        <w:t xml:space="preserve"> </w:t>
      </w:r>
      <w:r>
        <w:t xml:space="preserve">is one that proposes amendments outside the subject of the applications that triggered it. The</w:t>
      </w:r>
      <w:r>
        <w:t xml:space="preserve"> </w:t>
      </w:r>
      <w:r>
        <w:rPr>
          <w:iCs/>
          <w:i/>
        </w:rPr>
        <w:t xml:space="preserve">prodding effect</w:t>
      </w:r>
      <w:r>
        <w:t xml:space="preserve"> </w:t>
      </w:r>
      <w:r>
        <w:t xml:space="preserve">is the history of state applications pushing Congress to propose an amendment itself, the Seventeenth Amendment being the standard example. The conference website’s glossary defines these and related terms.</w:t>
      </w:r>
      <w:r>
        <w:rPr>
          <w:rStyle w:val="FootnoteReference"/>
        </w:rPr>
        <w:footnoteReference w:id="26"/>
      </w:r>
    </w:p>
    <w:bookmarkEnd w:id="27"/>
    <w:bookmarkStart w:id="32" w:name="opening-remarks"/>
    <w:p>
      <w:pPr>
        <w:pStyle w:val="Heading1"/>
      </w:pPr>
      <w:r>
        <w:t xml:space="preserve">Opening remarks</w:t>
      </w:r>
    </w:p>
    <w:bookmarkStart w:id="28" w:name="lessig"/>
    <w:p>
      <w:pPr>
        <w:pStyle w:val="Heading2"/>
      </w:pPr>
      <w:r>
        <w:t xml:space="preserve">Lessig</w:t>
      </w:r>
    </w:p>
    <w:p>
      <w:pPr>
        <w:pStyle w:val="FirstParagraph"/>
      </w:pPr>
      <w:r>
        <w:t xml:space="preserve">Lessig called the Article V convention</w:t>
      </w:r>
      <w:r>
        <w:t xml:space="preserve"> </w:t>
      </w:r>
      <w:r>
        <w:t xml:space="preserve">“</w:t>
      </w:r>
      <w:r>
        <w:t xml:space="preserve">a kind of cicadas of constitutional law,</w:t>
      </w:r>
      <w:r>
        <w:t xml:space="preserve">”</w:t>
      </w:r>
      <w:r>
        <w:t xml:space="preserve"> </w:t>
      </w:r>
      <w:r>
        <w:t xml:space="preserve">a question that returns roughly every fifteen years. He recalled Meckler’s 2011 opening speech on</w:t>
      </w:r>
      <w:r>
        <w:t xml:space="preserve"> </w:t>
      </w:r>
      <w:r>
        <w:t xml:space="preserve">“</w:t>
      </w:r>
      <w:r>
        <w:t xml:space="preserve">the politics of hate,</w:t>
      </w:r>
      <w:r>
        <w:t xml:space="preserve">”</w:t>
      </w:r>
      <w:r>
        <w:t xml:space="preserve"> </w:t>
      </w:r>
      <w:r>
        <w:t xml:space="preserve">the way those who profit from division keep Americans divided. Fifteen years on, he said, engagement-driven media has intensified that politics, which makes it more important to practice speaking with people one disagrees with.</w:t>
      </w:r>
    </w:p>
    <w:p>
      <w:pPr>
        <w:pStyle w:val="BodyText"/>
      </w:pPr>
      <w:r>
        <w:t xml:space="preserve">He then stated what he took to be common ground. Fifteen years ago many people thought the Constitution needed no change. He said he now meets few of them.</w:t>
      </w:r>
      <w:r>
        <w:t xml:space="preserve"> </w:t>
      </w:r>
      <w:r>
        <w:t xml:space="preserve">“</w:t>
      </w:r>
      <w:r>
        <w:t xml:space="preserve">The conversation now is not about whether we need amendments to the Constitution, but exactly how we bring them about.</w:t>
      </w:r>
      <w:r>
        <w:t xml:space="preserve">”</w:t>
      </w:r>
      <w:r>
        <w:t xml:space="preserve"> </w:t>
      </w:r>
      <w:r>
        <w:t xml:space="preserve">He framed the skeptics generously:</w:t>
      </w:r>
      <w:r>
        <w:t xml:space="preserve"> </w:t>
      </w:r>
      <w:r>
        <w:t xml:space="preserve">“</w:t>
      </w:r>
      <w:r>
        <w:t xml:space="preserve">the skeptics of a convention are not skeptics of democracy. They are fearful that an untried system will get out of hand, and that’s a fair concern.</w:t>
      </w:r>
      <w:r>
        <w:t xml:space="preserve">”</w:t>
      </w:r>
      <w:r>
        <w:t xml:space="preserve"> </w:t>
      </w:r>
      <w:r>
        <w:t xml:space="preserve">He closed by tying the work to a shared love of the country’s ideals and a warning that</w:t>
      </w:r>
      <w:r>
        <w:t xml:space="preserve"> </w:t>
      </w:r>
      <w:r>
        <w:t xml:space="preserve">“</w:t>
      </w:r>
      <w:r>
        <w:t xml:space="preserve">we cannot afford this stall in constitution making much longer.</w:t>
      </w:r>
      <w:r>
        <w:t xml:space="preserve">”</w:t>
      </w:r>
    </w:p>
    <w:bookmarkEnd w:id="28"/>
    <w:bookmarkStart w:id="31" w:name="farris"/>
    <w:p>
      <w:pPr>
        <w:pStyle w:val="Heading2"/>
      </w:pPr>
      <w:r>
        <w:t xml:space="preserve">Farris</w:t>
      </w:r>
    </w:p>
    <w:p>
      <w:pPr>
        <w:pStyle w:val="FirstParagraph"/>
      </w:pPr>
      <w:r>
        <w:t xml:space="preserve">Farris introduced himself as Lessig’s</w:t>
      </w:r>
      <w:r>
        <w:t xml:space="preserve"> </w:t>
      </w:r>
      <w:r>
        <w:t xml:space="preserve">“</w:t>
      </w:r>
      <w:r>
        <w:t xml:space="preserve">conservative counterweight</w:t>
      </w:r>
      <w:r>
        <w:t xml:space="preserve">”</w:t>
      </w:r>
      <w:r>
        <w:t xml:space="preserve"> </w:t>
      </w:r>
      <w:r>
        <w:t xml:space="preserve">and endorsed the call for civility without giving up principle. He described his Article V record. In 1979 he filed suit for Washington state legislators challenging Congress’s extension of the ratification deadline for the Equal Rights Amendment; a federal district court agreed that the rules could not be changed midstream, though the ruling was later vacated as moot.</w:t>
      </w:r>
      <w:r>
        <w:rPr>
          <w:rStyle w:val="FootnoteReference"/>
        </w:rPr>
        <w:footnoteReference w:id="29"/>
      </w:r>
      <w:r>
        <w:t xml:space="preserve"> </w:t>
      </w:r>
      <w:r>
        <w:t xml:space="preserve">In 2025 he won a federal ruling striking down a Kansas constitutional provision that required a legislative supermajority to apply for an Article V convention.</w:t>
      </w:r>
      <w:r>
        <w:rPr>
          <w:rStyle w:val="FootnoteReference"/>
        </w:rPr>
        <w:footnoteReference w:id="30"/>
      </w:r>
      <w:r>
        <w:t xml:space="preserve"> </w:t>
      </w:r>
      <w:r>
        <w:t xml:space="preserve">He reported that the Convention of States resolution has now passed in 20 legislatures, leaving 14 to go.</w:t>
      </w:r>
    </w:p>
    <w:p>
      <w:pPr>
        <w:pStyle w:val="BodyText"/>
      </w:pPr>
      <w:r>
        <w:t xml:space="preserve">He offered four observations. First, the convention route</w:t>
      </w:r>
      <w:r>
        <w:t xml:space="preserve"> </w:t>
      </w:r>
      <w:r>
        <w:t xml:space="preserve">“</w:t>
      </w:r>
      <w:r>
        <w:t xml:space="preserve">just makes sense,</w:t>
      </w:r>
      <w:r>
        <w:t xml:space="preserve">”</w:t>
      </w:r>
      <w:r>
        <w:t xml:space="preserve"> </w:t>
      </w:r>
      <w:r>
        <w:t xml:space="preserve">because Congress will never propose an amendment that limits federal power; George Mason made this argument at Philadelphia. Second, the process is politically neutral and can be used by either side, which he counted as a virtue. Third, getting an amendment through application, convention, and ratification requires overwhelming public agreement, which he put at</w:t>
      </w:r>
      <w:r>
        <w:t xml:space="preserve"> </w:t>
      </w:r>
      <w:r>
        <w:t xml:space="preserve">“</w:t>
      </w:r>
      <w:r>
        <w:t xml:space="preserve">something in the neighborhood of 85%</w:t>
      </w:r>
      <w:r>
        <w:t xml:space="preserve">”</w:t>
      </w:r>
      <w:r>
        <w:t xml:space="preserve"> </w:t>
      </w:r>
      <w:r>
        <w:t xml:space="preserve">by the end. Fourth, a televised convention would be</w:t>
      </w:r>
      <w:r>
        <w:t xml:space="preserve"> </w:t>
      </w:r>
      <w:r>
        <w:t xml:space="preserve">“</w:t>
      </w:r>
      <w:r>
        <w:t xml:space="preserve">the greatest civics lesson</w:t>
      </w:r>
      <w:r>
        <w:t xml:space="preserve">”</w:t>
      </w:r>
      <w:r>
        <w:t xml:space="preserve"> </w:t>
      </w:r>
      <w:r>
        <w:t xml:space="preserve">of his lifetime. His one realistic fear, he said, is that a convention would adopt nothing.</w:t>
      </w:r>
    </w:p>
    <w:bookmarkEnd w:id="31"/>
    <w:bookmarkEnd w:id="32"/>
    <w:bookmarkStart w:id="38" w:name="Xb39b5e84c58c652fd686808c72b7ba193e59926"/>
    <w:p>
      <w:pPr>
        <w:pStyle w:val="Heading1"/>
      </w:pPr>
      <w:r>
        <w:t xml:space="preserve">Keynote: Jill Lepore on the convention tradition</w:t>
      </w:r>
    </w:p>
    <w:p>
      <w:pPr>
        <w:pStyle w:val="FirstParagraph"/>
      </w:pPr>
      <w:r>
        <w:t xml:space="preserve">Lepore described her task as</w:t>
      </w:r>
      <w:r>
        <w:t xml:space="preserve"> </w:t>
      </w:r>
      <w:r>
        <w:t xml:space="preserve">“</w:t>
      </w:r>
      <w:r>
        <w:t xml:space="preserve">setting the historical table.</w:t>
      </w:r>
      <w:r>
        <w:t xml:space="preserve">”</w:t>
      </w:r>
      <w:r>
        <w:t xml:space="preserve"> </w:t>
      </w:r>
      <w:r>
        <w:t xml:space="preserve">Her recent history of the Constitution places at its center what she calls the philosophy of amendment and the convention tradition, which she argued legal scholars have overlooked because they write about the Supreme Court. She was introduced as the author of</w:t>
      </w:r>
      <w:r>
        <w:t xml:space="preserve"> </w:t>
      </w:r>
      <w:r>
        <w:rPr>
          <w:iCs/>
          <w:i/>
        </w:rPr>
        <w:t xml:space="preserve">We the People</w:t>
      </w:r>
      <w:r>
        <w:t xml:space="preserve">, which won the 2026 Pulitzer Prize in History.</w:t>
      </w:r>
      <w:r>
        <w:rPr>
          <w:rStyle w:val="FootnoteReference"/>
        </w:rPr>
        <w:footnoteReference w:id="33"/>
      </w:r>
    </w:p>
    <w:bookmarkStart w:id="34" w:name="the-founding-period"/>
    <w:p>
      <w:pPr>
        <w:pStyle w:val="Heading2"/>
      </w:pPr>
      <w:r>
        <w:t xml:space="preserve">The founding period</w:t>
      </w:r>
    </w:p>
    <w:p>
      <w:pPr>
        <w:pStyle w:val="FirstParagraph"/>
      </w:pPr>
      <w:r>
        <w:t xml:space="preserve">The first constitutional convention met in Pennsylvania in 1776, before independence was declared. Between 1776 and 1787, she said, debates in the states established four elements of constitutional legitimacy: a convention, a bill of rights, a ratification process, and an amendment procedure. Thirteen states wrote at least twenty constitutions in those years. About 30,000 men served as drafters, and roughly 300,000 took part by voting.</w:t>
      </w:r>
    </w:p>
    <w:p>
      <w:pPr>
        <w:pStyle w:val="BodyText"/>
      </w:pPr>
      <w:r>
        <w:t xml:space="preserve">Massachusetts was her central example. In 1776 the town of Pittsfield objected that a legislature cannot write the constitution that sits above it and that the people must ratify. The legislature drafted a constitution anyway; in 1778 the towns rejected it by five to one and sent back long constitutional complaints. A convention of 312 delegates then met in Cambridge in 1779, near the site of the conference, and John Adams drafted what became the Massachusetts Constitution of 1780. Western Massachusetts farmers later convened again in Shays’s Rebellion, and the federal government’s inability to respond led, through the failed Annapolis meeting, to Philadelphia. Nearly 2,000 Americans served in the state ratifying conventions of 1787 to 1790. The Federalists won ratification, defeated calls for a second federal convention, and hoped there would never be another. There never was.</w:t>
      </w:r>
    </w:p>
    <w:bookmarkEnd w:id="34"/>
    <w:bookmarkStart w:id="35" w:name="the-nineteenth-century"/>
    <w:p>
      <w:pPr>
        <w:pStyle w:val="Heading2"/>
      </w:pPr>
      <w:r>
        <w:t xml:space="preserve">The nineteenth century</w:t>
      </w:r>
    </w:p>
    <w:p>
      <w:pPr>
        <w:pStyle w:val="FirstParagraph"/>
      </w:pPr>
      <w:r>
        <w:t xml:space="preserve">In the states, conventions became</w:t>
      </w:r>
      <w:r>
        <w:t xml:space="preserve"> </w:t>
      </w:r>
      <w:r>
        <w:t xml:space="preserve">“</w:t>
      </w:r>
      <w:r>
        <w:t xml:space="preserve">as regular as rain.</w:t>
      </w:r>
      <w:r>
        <w:t xml:space="preserve">”</w:t>
      </w:r>
      <w:r>
        <w:t xml:space="preserve"> </w:t>
      </w:r>
      <w:r>
        <w:t xml:space="preserve">Since 1776 the states have held nearly 250 constitutional conventions and adopted 144 constitutions, about three per state. Conventions were understood as</w:t>
      </w:r>
      <w:r>
        <w:t xml:space="preserve"> </w:t>
      </w:r>
      <w:r>
        <w:t xml:space="preserve">“</w:t>
      </w:r>
      <w:r>
        <w:t xml:space="preserve">the provided machinery for peaceful revolution.</w:t>
      </w:r>
      <w:r>
        <w:t xml:space="preserve">”</w:t>
      </w:r>
      <w:r>
        <w:t xml:space="preserve"> </w:t>
      </w:r>
      <w:r>
        <w:t xml:space="preserve">The Indiana Supreme Court called a convention of eminent citizens</w:t>
      </w:r>
      <w:r>
        <w:t xml:space="preserve"> </w:t>
      </w:r>
      <w:r>
        <w:t xml:space="preserve">“</w:t>
      </w:r>
      <w:r>
        <w:t xml:space="preserve">the substitute for the armed mob of other countries.</w:t>
      </w:r>
      <w:r>
        <w:t xml:space="preserve">”</w:t>
      </w:r>
      <w:r>
        <w:t xml:space="preserve"> </w:t>
      </w:r>
      <w:r>
        <w:t xml:space="preserve">State conventions abolished property qualifications for voting, moved the choice of presidential electors and governors to voters, and made judges elected, at a time when every similar proposal for the federal Constitution failed.</w:t>
      </w:r>
    </w:p>
    <w:p>
      <w:pPr>
        <w:pStyle w:val="BodyText"/>
      </w:pPr>
      <w:r>
        <w:t xml:space="preserve">Lepore insisted on the other side of the ledger.</w:t>
      </w:r>
      <w:r>
        <w:t xml:space="preserve"> </w:t>
      </w:r>
      <w:r>
        <w:t xml:space="preserve">“</w:t>
      </w:r>
      <w:r>
        <w:t xml:space="preserve">Conventions can have wonderful results; they can also have terrible results. Most conventions have both.</w:t>
      </w:r>
      <w:r>
        <w:t xml:space="preserve">”</w:t>
      </w:r>
      <w:r>
        <w:t xml:space="preserve"> </w:t>
      </w:r>
      <w:r>
        <w:t xml:space="preserve">Beginning in 1810, state conventions inserted the words</w:t>
      </w:r>
      <w:r>
        <w:t xml:space="preserve"> </w:t>
      </w:r>
      <w:r>
        <w:t xml:space="preserve">“</w:t>
      </w:r>
      <w:r>
        <w:t xml:space="preserve">white</w:t>
      </w:r>
      <w:r>
        <w:t xml:space="preserve">”</w:t>
      </w:r>
      <w:r>
        <w:t xml:space="preserve"> </w:t>
      </w:r>
      <w:r>
        <w:t xml:space="preserve">and</w:t>
      </w:r>
      <w:r>
        <w:t xml:space="preserve"> </w:t>
      </w:r>
      <w:r>
        <w:t xml:space="preserve">“</w:t>
      </w:r>
      <w:r>
        <w:t xml:space="preserve">male</w:t>
      </w:r>
      <w:r>
        <w:t xml:space="preserve">”</w:t>
      </w:r>
      <w:r>
        <w:t xml:space="preserve"> </w:t>
      </w:r>
      <w:r>
        <w:t xml:space="preserve">into suffrage provisions. New York’s 1821 convention, called largely to expand the vote, stripped the vote from black men despite Peter Jay’s argument that delegates had no mandate to disfranchise the people who had voted for the convention. Excluded groups answered with conventions of their own: dozens of black state and national conventions between 1830 and 1861, Native nations such as the Mashpee, and women from 1837 through Seneca Falls and after. She argued these conventions belong in any account of the American constitutional tradition, and that courts rarely cite them.</w:t>
      </w:r>
    </w:p>
    <w:bookmarkEnd w:id="35"/>
    <w:bookmarkStart w:id="37" w:name="X58e762970118bb1204ffbffc9660035e24fd77f"/>
    <w:p>
      <w:pPr>
        <w:pStyle w:val="Heading2"/>
      </w:pPr>
      <w:r>
        <w:t xml:space="preserve">The twentieth century and the abandonment of the tradition</w:t>
      </w:r>
    </w:p>
    <w:p>
      <w:pPr>
        <w:pStyle w:val="FirstParagraph"/>
      </w:pPr>
      <w:r>
        <w:t xml:space="preserve">The first serious push for a second federal convention came in the 1890s, for direct election of senators. By 1909, she said, 28 legislatures had applied when 31 were needed. Faced with a convention, Congress and conservatives accepted four progressive amendments in eight years. That success drained the convention movement. Later campaigns came from the right: against</w:t>
      </w:r>
      <w:r>
        <w:t xml:space="preserve"> </w:t>
      </w:r>
      <w:r>
        <w:rPr>
          <w:iCs/>
          <w:i/>
        </w:rPr>
        <w:t xml:space="preserve">Brown v. Board of Education</w:t>
      </w:r>
      <w:r>
        <w:t xml:space="preserve">, against the reapportionment decisions (Senator Everett Dirksen’s campaign reached 32 of 34 states by 1967), and for a balanced budget amendment, which had 28 states by 1979 and 32 by 1982.</w:t>
      </w:r>
      <w:r>
        <w:rPr>
          <w:rStyle w:val="FootnoteReference"/>
        </w:rPr>
        <w:footnoteReference w:id="36"/>
      </w:r>
    </w:p>
    <w:p>
      <w:pPr>
        <w:pStyle w:val="BodyText"/>
      </w:pPr>
      <w:r>
        <w:t xml:space="preserve">Liberals warned throughout of a</w:t>
      </w:r>
      <w:r>
        <w:t xml:space="preserve"> </w:t>
      </w:r>
      <w:r>
        <w:t xml:space="preserve">“</w:t>
      </w:r>
      <w:r>
        <w:t xml:space="preserve">runaway</w:t>
      </w:r>
      <w:r>
        <w:t xml:space="preserve">”</w:t>
      </w:r>
      <w:r>
        <w:t xml:space="preserve"> </w:t>
      </w:r>
      <w:r>
        <w:t xml:space="preserve">convention. Charles Black predicted in 1963 that a convention could</w:t>
      </w:r>
      <w:r>
        <w:t xml:space="preserve"> </w:t>
      </w:r>
      <w:r>
        <w:t xml:space="preserve">“</w:t>
      </w:r>
      <w:r>
        <w:t xml:space="preserve">return us to the Confederacy,</w:t>
      </w:r>
      <w:r>
        <w:t xml:space="preserve">”</w:t>
      </w:r>
      <w:r>
        <w:t xml:space="preserve"> </w:t>
      </w:r>
      <w:r>
        <w:t xml:space="preserve">and Richard Rovere wrote in</w:t>
      </w:r>
      <w:r>
        <w:t xml:space="preserve"> </w:t>
      </w:r>
      <w:r>
        <w:rPr>
          <w:iCs/>
          <w:i/>
        </w:rPr>
        <w:t xml:space="preserve">The New Yorker</w:t>
      </w:r>
      <w:r>
        <w:t xml:space="preserve"> </w:t>
      </w:r>
      <w:r>
        <w:t xml:space="preserve">that one could in theory restore segregation. Yet a 1979 Gallup poll found 65 percent of Americans in favor of a convention. Lepore played a clip of Antonin Scalia, then a law professor, at a 1979 American Enterprise Institute debate, saying he was willing to</w:t>
      </w:r>
      <w:r>
        <w:t xml:space="preserve"> </w:t>
      </w:r>
      <w:r>
        <w:t xml:space="preserve">“</w:t>
      </w:r>
      <w:r>
        <w:t xml:space="preserve">take the chance</w:t>
      </w:r>
      <w:r>
        <w:t xml:space="preserve">”</w:t>
      </w:r>
      <w:r>
        <w:t xml:space="preserve"> </w:t>
      </w:r>
      <w:r>
        <w:t xml:space="preserve">of a convention because both Congress and a life-tenured judiciary had escaped popular control. Phyllis Schlafly, fearing a convention could revive the Equal Rights Amendment, fought the balanced budget call state by state and counted its defeat among her chief achievements. Conservatives turned instead to the courts and to originalism; the Federalist Society was founded in 1982.</w:t>
      </w:r>
    </w:p>
    <w:p>
      <w:pPr>
        <w:pStyle w:val="BodyText"/>
      </w:pPr>
      <w:r>
        <w:t xml:space="preserve">The fear spread to the states. No state has held a full constitutional convention since Rhode Island in 1986, and Louisiana’s limited 1992 convention was the last of any kind. New York voters, asked every twenty years, rejected conventions in 1957, 1977, 1997, and 2017. By 1987, 71 percent of Americans called a new convention a bad idea.</w:t>
      </w:r>
      <w:r>
        <w:t xml:space="preserve"> </w:t>
      </w:r>
      <w:r>
        <w:t xml:space="preserve">“</w:t>
      </w:r>
      <w:r>
        <w:t xml:space="preserve">Deliberating is a muscle that can easily atrophy,</w:t>
      </w:r>
      <w:r>
        <w:t xml:space="preserve">”</w:t>
      </w:r>
      <w:r>
        <w:t xml:space="preserve"> </w:t>
      </w:r>
      <w:r>
        <w:t xml:space="preserve">she said.</w:t>
      </w:r>
      <w:r>
        <w:t xml:space="preserve"> </w:t>
      </w:r>
      <w:r>
        <w:t xml:space="preserve">“</w:t>
      </w:r>
      <w:r>
        <w:t xml:space="preserve">The convention tradition is weaker today than it has ever been.</w:t>
      </w:r>
      <w:r>
        <w:t xml:space="preserve">”</w:t>
      </w:r>
      <w:r>
        <w:t xml:space="preserve"> </w:t>
      </w:r>
      <w:r>
        <w:t xml:space="preserve">She ended with Scalia in 2014:</w:t>
      </w:r>
      <w:r>
        <w:t xml:space="preserve"> </w:t>
      </w:r>
      <w:r>
        <w:t xml:space="preserve">“</w:t>
      </w:r>
      <w:r>
        <w:t xml:space="preserve">I certainly would not want a constitutional convention. I mean, whoa! Who knows what would come out of that?</w:t>
      </w:r>
      <w:r>
        <w:t xml:space="preserve">”</w:t>
      </w:r>
    </w:p>
    <w:bookmarkEnd w:id="37"/>
    <w:bookmarkEnd w:id="38"/>
    <w:bookmarkStart w:id="39" w:name="questions"/>
    <w:p>
      <w:pPr>
        <w:pStyle w:val="Heading1"/>
      </w:pPr>
      <w:r>
        <w:t xml:space="preserve">Questions</w:t>
      </w:r>
    </w:p>
    <w:p>
      <w:pPr>
        <w:pStyle w:val="FirstParagraph"/>
      </w:pPr>
      <w:r>
        <w:t xml:space="preserve">Lessig asked whether nineteenth-century state conventions had run away. Lepore said she had not studied it closely but that state conventions were</w:t>
      </w:r>
      <w:r>
        <w:t xml:space="preserve"> </w:t>
      </w:r>
      <w:r>
        <w:t xml:space="preserve">“</w:t>
      </w:r>
      <w:r>
        <w:t xml:space="preserve">largely open conventions to begin with. That was the point of them.</w:t>
      </w:r>
      <w:r>
        <w:t xml:space="preserve">”</w:t>
      </w:r>
      <w:r>
        <w:t xml:space="preserve"> </w:t>
      </w:r>
      <w:r>
        <w:t xml:space="preserve">The fear of unraveling did not exist in the same way, because unraveling was often what the delegates were sent to do.</w:t>
      </w:r>
    </w:p>
    <w:p>
      <w:pPr>
        <w:pStyle w:val="BodyText"/>
      </w:pPr>
      <w:r>
        <w:t xml:space="preserve">Asked why the culture moved from tinkering to preservation, she pointed to</w:t>
      </w:r>
      <w:r>
        <w:t xml:space="preserve"> </w:t>
      </w:r>
      <w:r>
        <w:t xml:space="preserve">“</w:t>
      </w:r>
      <w:r>
        <w:t xml:space="preserve">the growth of judicial power.</w:t>
      </w:r>
      <w:r>
        <w:t xml:space="preserve">”</w:t>
      </w:r>
      <w:r>
        <w:t xml:space="preserve"> </w:t>
      </w:r>
      <w:r>
        <w:t xml:space="preserve">Asked whether modern media could help a convention, she said digitization is a gift to historians but that technologies that simulate participation are</w:t>
      </w:r>
      <w:r>
        <w:t xml:space="preserve"> </w:t>
      </w:r>
      <w:r>
        <w:t xml:space="preserve">“</w:t>
      </w:r>
      <w:r>
        <w:t xml:space="preserve">poisoning political discourse.</w:t>
      </w:r>
      <w:r>
        <w:t xml:space="preserve">”</w:t>
      </w:r>
      <w:r>
        <w:t xml:space="preserve"> </w:t>
      </w:r>
      <w:r>
        <w:t xml:space="preserve">Her new book,</w:t>
      </w:r>
      <w:r>
        <w:t xml:space="preserve"> </w:t>
      </w:r>
      <w:r>
        <w:rPr>
          <w:iCs/>
          <w:i/>
        </w:rPr>
        <w:t xml:space="preserve">The Rise and Fall of the Artificial State</w:t>
      </w:r>
      <w:r>
        <w:t xml:space="preserve">, argues that replacing the obligations of citizens with machine interfaces is destroying democracy and civil society. She declared herself</w:t>
      </w:r>
      <w:r>
        <w:t xml:space="preserve"> </w:t>
      </w:r>
      <w:r>
        <w:t xml:space="preserve">“</w:t>
      </w:r>
      <w:r>
        <w:t xml:space="preserve">not a fan</w:t>
      </w:r>
      <w:r>
        <w:t xml:space="preserve">”</w:t>
      </w:r>
      <w:r>
        <w:t xml:space="preserve"> </w:t>
      </w:r>
      <w:r>
        <w:t xml:space="preserve">of digital citizens’ assemblies.</w:t>
      </w:r>
    </w:p>
    <w:p>
      <w:pPr>
        <w:pStyle w:val="BodyText"/>
      </w:pPr>
      <w:r>
        <w:t xml:space="preserve">An audience member objected that the 2014 Scalia quotation is often used out of context. In the full answer Scalia went on to say that if he could make one targeted amendment it would be to the amendment provision itself, since less than two percent of the population can block an amendment:</w:t>
      </w:r>
      <w:r>
        <w:t xml:space="preserve"> </w:t>
      </w:r>
      <w:r>
        <w:t xml:space="preserve">“</w:t>
      </w:r>
      <w:r>
        <w:t xml:space="preserve">It ought to be hard, but not that hard.</w:t>
      </w:r>
      <w:r>
        <w:t xml:space="preserve">”</w:t>
      </w:r>
      <w:r>
        <w:t xml:space="preserve"> </w:t>
      </w:r>
      <w:r>
        <w:t xml:space="preserve">Lepore agreed and said Scalia’s views evolved.</w:t>
      </w:r>
    </w:p>
    <w:p>
      <w:pPr>
        <w:pStyle w:val="BodyText"/>
      </w:pPr>
      <w:r>
        <w:t xml:space="preserve">Asked whether convention phobia is a fear of direct democracy, Lepore gave two answers. The first was partisan:</w:t>
      </w:r>
      <w:r>
        <w:t xml:space="preserve"> </w:t>
      </w:r>
      <w:r>
        <w:t xml:space="preserve">“</w:t>
      </w:r>
      <w:r>
        <w:t xml:space="preserve">if you like who’s on the Supreme Court, suddenly you’re not that interested in an Article Five convention anymore,</w:t>
      </w:r>
      <w:r>
        <w:t xml:space="preserve">”</w:t>
      </w:r>
      <w:r>
        <w:t xml:space="preserve"> </w:t>
      </w:r>
      <w:r>
        <w:t xml:space="preserve">and</w:t>
      </w:r>
      <w:r>
        <w:t xml:space="preserve"> </w:t>
      </w:r>
      <w:r>
        <w:t xml:space="preserve">“</w:t>
      </w:r>
      <w:r>
        <w:t xml:space="preserve">there’s not a lot of principle over the long haul among political extremists on either side.</w:t>
      </w:r>
      <w:r>
        <w:t xml:space="preserve">”</w:t>
      </w:r>
      <w:r>
        <w:t xml:space="preserve"> </w:t>
      </w:r>
      <w:r>
        <w:t xml:space="preserve">The second was a</w:t>
      </w:r>
      <w:r>
        <w:t xml:space="preserve"> </w:t>
      </w:r>
      <w:r>
        <w:t xml:space="preserve">“</w:t>
      </w:r>
      <w:r>
        <w:t xml:space="preserve">quite rational convention phobia</w:t>
      </w:r>
      <w:r>
        <w:t xml:space="preserve">”</w:t>
      </w:r>
      <w:r>
        <w:t xml:space="preserve">: Americans have not exercised deliberative skills in decades and may need to rebuild them through town meetings and state conventions before attempting a federal one.</w:t>
      </w:r>
    </w:p>
    <w:bookmarkEnd w:id="39"/>
    <w:bookmarkStart w:id="41" w:name="how-the-debate-stands-after-session-1"/>
    <w:p>
      <w:pPr>
        <w:pStyle w:val="Heading1"/>
      </w:pPr>
      <w:r>
        <w:t xml:space="preserve">How the debate stands after Session 1</w:t>
      </w:r>
    </w:p>
    <w:p>
      <w:pPr>
        <w:pStyle w:val="FirstParagraph"/>
      </w:pPr>
      <w:r>
        <w:t xml:space="preserve">The opening session set the frame for everything that followed. Lessig and Farris claimed common ground on the need for amendment and on the neutrality of the process. Lepore gave both sides material. Proponents could cite a long tradition of conventions as the normal American method of constitutional change, and a history in which the threat of a convention moved Congress to act. Skeptics could cite the same history’s record of exclusion, the bipartisan origin of the runaway fear, and her doubt that today’s citizens are ready.</w:t>
      </w:r>
    </w:p>
    <w:p>
      <w:pPr>
        <w:pStyle w:val="BodyText"/>
      </w:pPr>
      <w:r>
        <w:t xml:space="preserve">One point deserves to be carried forward. Proponents, including Lessig in a preview interview, have argued that</w:t>
      </w:r>
      <w:r>
        <w:t xml:space="preserve"> </w:t>
      </w:r>
      <w:r>
        <w:t xml:space="preserve">“</w:t>
      </w:r>
      <w:r>
        <w:t xml:space="preserve">there’s never been a runaway state convention.</w:t>
      </w:r>
      <w:r>
        <w:t xml:space="preserve">”</w:t>
      </w:r>
      <w:r>
        <w:rPr>
          <w:rStyle w:val="FootnoteReference"/>
        </w:rPr>
        <w:footnoteReference w:id="40"/>
      </w:r>
      <w:r>
        <w:t xml:space="preserve"> </w:t>
      </w:r>
      <w:r>
        <w:t xml:space="preserve">Lepore’s answer to Lessig’s own question suggests that this history proves less than it seems. Most state conventions were called to revise the whole constitution, so there was nothing for them to run away from. The record of limited conventions, which is the relevant one, was not yet before the conference.</w:t>
      </w:r>
    </w:p>
    <w:p>
      <w:pPr>
        <w:pStyle w:val="BodyText"/>
      </w:pPr>
      <w:r>
        <w:t xml:space="preserve">The table below starts a running account of the questions the conference would return to. Later summaries update it.</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1</w:t>
            </w:r>
          </w:p>
        </w:tc>
      </w:tr>
      <w:tr>
        <w:tc>
          <w:tcPr/>
          <w:p>
            <w:pPr>
              <w:pStyle w:val="Compact"/>
              <w:jc w:val="left"/>
            </w:pPr>
            <w:r>
              <w:t xml:space="preserve">Is a convention a legitimate American tool?</w:t>
            </w:r>
          </w:p>
        </w:tc>
        <w:tc>
          <w:tcPr/>
          <w:p>
            <w:pPr>
              <w:pStyle w:val="Compact"/>
              <w:jc w:val="left"/>
            </w:pPr>
            <w:r>
              <w:t xml:space="preserve">Lepore showed a deep state tradition and a federal route never used. Farris called the process neutral. No one has yet argued that it is illegitimate.</w:t>
            </w:r>
          </w:p>
        </w:tc>
      </w:tr>
      <w:tr>
        <w:tc>
          <w:tcPr/>
          <w:p>
            <w:pPr>
              <w:pStyle w:val="Compact"/>
              <w:jc w:val="left"/>
            </w:pPr>
            <w:r>
              <w:t xml:space="preserve">Can a convention be held to its subject?</w:t>
            </w:r>
          </w:p>
        </w:tc>
        <w:tc>
          <w:tcPr/>
          <w:p>
            <w:pPr>
              <w:pStyle w:val="Compact"/>
              <w:jc w:val="left"/>
            </w:pPr>
            <w:r>
              <w:t xml:space="preserve">Not yet argued directly. State history is of limited help, since state conventions were mostly open by design.</w:t>
            </w:r>
          </w:p>
        </w:tc>
      </w:tr>
      <w:tr>
        <w:tc>
          <w:tcPr/>
          <w:p>
            <w:pPr>
              <w:pStyle w:val="Compact"/>
              <w:jc w:val="left"/>
            </w:pPr>
            <w:r>
              <w:t xml:space="preserve">Who would serve, and how would they be chosen?</w:t>
            </w:r>
          </w:p>
        </w:tc>
        <w:tc>
          <w:tcPr/>
          <w:p>
            <w:pPr>
              <w:pStyle w:val="Compact"/>
              <w:jc w:val="left"/>
            </w:pPr>
            <w:r>
              <w:t xml:space="preserve">Not yet addressed. Lepore had no account of how state delegates were chosen.</w:t>
            </w:r>
          </w:p>
        </w:tc>
      </w:tr>
      <w:tr>
        <w:tc>
          <w:tcPr/>
          <w:p>
            <w:pPr>
              <w:pStyle w:val="Compact"/>
              <w:jc w:val="left"/>
            </w:pPr>
            <w:r>
              <w:t xml:space="preserve">Is ratification by 38 states a sufficient safeguard?</w:t>
            </w:r>
          </w:p>
        </w:tc>
        <w:tc>
          <w:tcPr/>
          <w:p>
            <w:pPr>
              <w:pStyle w:val="Compact"/>
              <w:jc w:val="left"/>
            </w:pPr>
            <w:r>
              <w:t xml:space="preserve">Farris said the full process requires something near 85 percent public agreement. Not yet tested.</w:t>
            </w:r>
          </w:p>
        </w:tc>
      </w:tr>
      <w:tr>
        <w:tc>
          <w:tcPr/>
          <w:p>
            <w:pPr>
              <w:pStyle w:val="Compact"/>
              <w:jc w:val="left"/>
            </w:pPr>
            <w:r>
              <w:t xml:space="preserve">Can Americans deliberate well enough to do this?</w:t>
            </w:r>
          </w:p>
        </w:tc>
        <w:tc>
          <w:tcPr/>
          <w:p>
            <w:pPr>
              <w:pStyle w:val="Compact"/>
              <w:jc w:val="left"/>
            </w:pPr>
            <w:r>
              <w:t xml:space="preserve">Lepore doubted it and was skeptical of digital tools. She suggested rebuilding the habit through smaller bodies first.</w:t>
            </w:r>
          </w:p>
        </w:tc>
      </w:tr>
      <w:tr>
        <w:tc>
          <w:tcPr/>
          <w:p>
            <w:pPr>
              <w:pStyle w:val="Compact"/>
              <w:jc w:val="left"/>
            </w:pPr>
            <w:r>
              <w:t xml:space="preserve">What drives the fear of a convention?</w:t>
            </w:r>
          </w:p>
        </w:tc>
        <w:tc>
          <w:tcPr/>
          <w:p>
            <w:pPr>
              <w:pStyle w:val="Compact"/>
              <w:jc w:val="left"/>
            </w:pPr>
            <w:r>
              <w:t xml:space="preserve">Lepore: largely partisan views of the Supreme Court, plus a rational doubt about civic capacity.</w:t>
            </w:r>
          </w:p>
        </w:tc>
      </w:tr>
    </w:tbl>
    <w:bookmarkEnd w:id="41"/>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which was recorded and transcribed after the conference. Transcript, Opening Remarks and Keynote Address, V the People Conference, Harvard Law School (Oct. 2, 2026) (on file with the conference organizers). Quotations are from that transcript, lightly corrected for obvious transcription errors. Speaker names are corrected against the conference roster.</w:t>
      </w:r>
      <w:r>
        <w:t xml:space="preserve"> </w:t>
      </w:r>
      <w:r>
        <w:rPr>
          <w:iCs/>
          <w:i/>
        </w:rPr>
        <w:t xml:space="preserve">See</w:t>
      </w:r>
      <w:r>
        <w:t xml:space="preserve"> </w:t>
      </w:r>
      <w:r>
        <w:t xml:space="preserve">V the People,</w:t>
      </w:r>
      <w:r>
        <w:t xml:space="preserve"> </w:t>
      </w:r>
      <w:r>
        <w:rPr>
          <w:iCs/>
          <w:i/>
        </w:rPr>
        <w:t xml:space="preserve">Panelists and Speakers</w:t>
      </w:r>
      <w:r>
        <w:t xml:space="preserve">, https://vthepeople.org/panels.html (last visited Oct. 19, 2026).</w:t>
      </w:r>
    </w:p>
  </w:footnote>
  <w:footnote w:id="22">
    <w:p>
      <w:pPr>
        <w:pStyle w:val="FootnoteText"/>
      </w:pPr>
      <w:r>
        <w:rPr>
          <w:rStyle w:val="FootnoteReference"/>
        </w:rPr>
        <w:footnoteRef/>
      </w:r>
      <w:r>
        <w:t xml:space="preserve"> </w:t>
      </w:r>
      <w:r>
        <w:t xml:space="preserve">U.S. Const. art. V.</w:t>
      </w:r>
    </w:p>
  </w:footnote>
  <w:footnote w:id="23">
    <w:p>
      <w:pPr>
        <w:pStyle w:val="FootnoteText"/>
      </w:pPr>
      <w:r>
        <w:rPr>
          <w:rStyle w:val="FootnoteReference"/>
        </w:rPr>
        <w:footnoteRef/>
      </w:r>
      <w:r>
        <w:t xml:space="preserve"> </w:t>
      </w:r>
      <w:r>
        <w:t xml:space="preserve">V the People, https://vthepeople.org (last visited Oct. 19, 2026); V the People,</w:t>
      </w:r>
      <w:r>
        <w:t xml:space="preserve"> </w:t>
      </w:r>
      <w:r>
        <w:rPr>
          <w:iCs/>
          <w:i/>
        </w:rPr>
        <w:t xml:space="preserve">Schedule</w:t>
      </w:r>
      <w:r>
        <w:t xml:space="preserve">, https://vthepeople.org/schedule.html (last visited Oct. 19, 2026).</w:t>
      </w:r>
    </w:p>
  </w:footnote>
  <w:footnote w:id="24">
    <w:p>
      <w:pPr>
        <w:pStyle w:val="FootnoteText"/>
      </w:pPr>
      <w:r>
        <w:rPr>
          <w:rStyle w:val="FootnoteReference"/>
        </w:rPr>
        <w:footnoteRef/>
      </w:r>
      <w:r>
        <w:t xml:space="preserve"> </w:t>
      </w:r>
      <w:r>
        <w:t xml:space="preserve">Lacey J. Rose,</w:t>
      </w:r>
      <w:r>
        <w:t xml:space="preserve"> </w:t>
      </w:r>
      <w:r>
        <w:rPr>
          <w:iCs/>
          <w:i/>
        </w:rPr>
        <w:t xml:space="preserve">VthePeople Conference Explores Possibility of Unprecedented Path to Constitutional Change</w:t>
      </w:r>
      <w:r>
        <w:t xml:space="preserve">, Harv. L. Today (Sept. 16, 2026), https://hls.harvard.edu/today/vthepeople-conference-explores-possibility-of-unprecedented-path-to-constitutional-change/.</w:t>
      </w:r>
    </w:p>
  </w:footnote>
  <w:footnote w:id="25">
    <w:p>
      <w:pPr>
        <w:pStyle w:val="FootnoteText"/>
      </w:pPr>
      <w:r>
        <w:rPr>
          <w:rStyle w:val="FootnoteReference"/>
        </w:rPr>
        <w:footnoteRef/>
      </w:r>
      <w:r>
        <w:t xml:space="preserve"> </w:t>
      </w:r>
      <w:r>
        <w:t xml:space="preserve">V the People,</w:t>
      </w:r>
      <w:r>
        <w:t xml:space="preserve"> </w:t>
      </w:r>
      <w:r>
        <w:rPr>
          <w:iCs/>
          <w:i/>
        </w:rPr>
        <w:t xml:space="preserve">supra</w:t>
      </w:r>
      <w:r>
        <w:t xml:space="preserve"> </w:t>
      </w:r>
      <w:r>
        <w:t xml:space="preserve">note 3.</w:t>
      </w:r>
    </w:p>
  </w:footnote>
  <w:footnote w:id="26">
    <w:p>
      <w:pPr>
        <w:pStyle w:val="FootnoteText"/>
      </w:pPr>
      <w:r>
        <w:rPr>
          <w:rStyle w:val="FootnoteReference"/>
        </w:rPr>
        <w:footnoteRef/>
      </w:r>
      <w:r>
        <w:t xml:space="preserve"> </w:t>
      </w:r>
      <w:r>
        <w:t xml:space="preserve">V the People,</w:t>
      </w:r>
      <w:r>
        <w:t xml:space="preserve"> </w:t>
      </w:r>
      <w:r>
        <w:rPr>
          <w:iCs/>
          <w:i/>
        </w:rPr>
        <w:t xml:space="preserve">Glossary</w:t>
      </w:r>
      <w:r>
        <w:t xml:space="preserve">, https://vthepeople.org/glossary.html (last visited Oct. 19, 2026);</w:t>
      </w:r>
      <w:r>
        <w:t xml:space="preserve"> </w:t>
      </w:r>
      <w:r>
        <w:rPr>
          <w:iCs/>
          <w:i/>
        </w:rPr>
        <w:t xml:space="preserve">see also</w:t>
      </w:r>
      <w:r>
        <w:t xml:space="preserve"> </w:t>
      </w:r>
      <w:r>
        <w:t xml:space="preserve">Thomas H. Neale, Cong. Rsch. Serv., R42592, The Article V Convention to Propose Constitutional Amendments: Contemporary Issues for Congress (2016).</w:t>
      </w:r>
    </w:p>
  </w:footnote>
  <w:footnote w:id="29">
    <w:p>
      <w:pPr>
        <w:pStyle w:val="FootnoteText"/>
      </w:pPr>
      <w:r>
        <w:rPr>
          <w:rStyle w:val="FootnoteReference"/>
        </w:rPr>
        <w:footnoteRef/>
      </w:r>
      <w:r>
        <w:t xml:space="preserve"> </w:t>
      </w:r>
      <w:r>
        <w:rPr>
          <w:iCs/>
          <w:i/>
        </w:rPr>
        <w:t xml:space="preserve">See</w:t>
      </w:r>
      <w:r>
        <w:t xml:space="preserve"> </w:t>
      </w:r>
      <w:r>
        <w:t xml:space="preserve">Idaho v. Freeman, 529 F. Supp. 1107 (D. Idaho 1981),</w:t>
      </w:r>
      <w:r>
        <w:t xml:space="preserve"> </w:t>
      </w:r>
      <w:r>
        <w:rPr>
          <w:iCs/>
          <w:i/>
        </w:rPr>
        <w:t xml:space="preserve">vacated as moot sub nom.</w:t>
      </w:r>
      <w:r>
        <w:t xml:space="preserve"> </w:t>
      </w:r>
      <w:r>
        <w:t xml:space="preserve">Nat’l Org. for Women, Inc. v. Idaho, 459 U.S. 809 (1982).</w:t>
      </w:r>
    </w:p>
  </w:footnote>
  <w:footnote w:id="30">
    <w:p>
      <w:pPr>
        <w:pStyle w:val="FootnoteText"/>
      </w:pPr>
      <w:r>
        <w:rPr>
          <w:rStyle w:val="FootnoteReference"/>
        </w:rPr>
        <w:footnoteRef/>
      </w:r>
      <w:r>
        <w:t xml:space="preserve"> </w:t>
      </w:r>
      <w:r>
        <w:rPr>
          <w:iCs/>
          <w:i/>
        </w:rPr>
        <w:t xml:space="preserve">Judge Tosses Kansas Law Requiring Supermajorities for Constitutional Conventions</w:t>
      </w:r>
      <w:r>
        <w:t xml:space="preserve">, Just the News (Nov. 6, 2025), https://justthenews.com/government/courts-law/judge-tosses-kansas-law-requiring-supermajorities-constitutional-conventions.</w:t>
      </w:r>
    </w:p>
  </w:footnote>
  <w:footnote w:id="33">
    <w:p>
      <w:pPr>
        <w:pStyle w:val="FootnoteText"/>
      </w:pPr>
      <w:r>
        <w:rPr>
          <w:rStyle w:val="FootnoteReference"/>
        </w:rPr>
        <w:footnoteRef/>
      </w:r>
      <w:r>
        <w:t xml:space="preserve"> </w:t>
      </w:r>
      <w:r>
        <w:t xml:space="preserve">Jill Lepore, We the People: A History of the U.S. Constitution (2025);</w:t>
      </w:r>
      <w:r>
        <w:t xml:space="preserve"> </w:t>
      </w:r>
      <w:r>
        <w:rPr>
          <w:iCs/>
          <w:i/>
        </w:rPr>
        <w:t xml:space="preserve">see</w:t>
      </w:r>
      <w:r>
        <w:t xml:space="preserve"> </w:t>
      </w:r>
      <w:r>
        <w:t xml:space="preserve">The Pulitzer Prizes,</w:t>
      </w:r>
      <w:r>
        <w:t xml:space="preserve"> </w:t>
      </w:r>
      <w:r>
        <w:rPr>
          <w:iCs/>
          <w:i/>
        </w:rPr>
        <w:t xml:space="preserve">Jill Lepore</w:t>
      </w:r>
      <w:r>
        <w:t xml:space="preserve">, https://www.pulitzer.org/winners/jill-lepore (last visited Oct. 19, 2026). Lepore’s NEH-funded database of proposed amendments is The Amendments Project, https://theamendmentsproject.org.</w:t>
      </w:r>
    </w:p>
  </w:footnote>
  <w:footnote w:id="36">
    <w:p>
      <w:pPr>
        <w:pStyle w:val="FootnoteText"/>
      </w:pPr>
      <w:r>
        <w:rPr>
          <w:rStyle w:val="FootnoteReference"/>
        </w:rPr>
        <w:footnoteRef/>
      </w:r>
      <w:r>
        <w:t xml:space="preserve"> </w:t>
      </w:r>
      <w:r>
        <w:t xml:space="preserve">Brown v. Bd. of Educ., 347 U.S. 483 (1954); Gray v. Sanders, 372 U.S. 368 (1963); Reynolds v. Sims, 377 U.S. 533 (1964). For Black’s argument against the states’ 1960s proposals,</w:t>
      </w:r>
      <w:r>
        <w:t xml:space="preserve"> </w:t>
      </w:r>
      <w:r>
        <w:rPr>
          <w:iCs/>
          <w:i/>
        </w:rPr>
        <w:t xml:space="preserve">see</w:t>
      </w:r>
      <w:r>
        <w:t xml:space="preserve"> </w:t>
      </w:r>
      <w:r>
        <w:t xml:space="preserve">Charles L. Black, Jr.,</w:t>
      </w:r>
      <w:r>
        <w:t xml:space="preserve"> </w:t>
      </w:r>
      <w:r>
        <w:rPr>
          <w:iCs/>
          <w:i/>
        </w:rPr>
        <w:t xml:space="preserve">The Proposed Amendment of Article V: A Threatened Disaster</w:t>
      </w:r>
      <w:r>
        <w:t xml:space="preserve">, 72 Yale L.J. 957 (1963).</w:t>
      </w:r>
    </w:p>
  </w:footnote>
  <w:footnote w:id="40">
    <w:p>
      <w:pPr>
        <w:pStyle w:val="FootnoteText"/>
      </w:pPr>
      <w:r>
        <w:rPr>
          <w:rStyle w:val="FootnoteReference"/>
        </w:rPr>
        <w:footnoteRef/>
      </w:r>
      <w:r>
        <w:t xml:space="preserve"> </w:t>
      </w:r>
      <w:r>
        <w:t xml:space="preserve">Rose,</w:t>
      </w:r>
      <w:r>
        <w:t xml:space="preserve"> </w:t>
      </w:r>
      <w:r>
        <w:rPr>
          <w:iCs/>
          <w:i/>
        </w:rPr>
        <w:t xml:space="preserve">supra</w:t>
      </w:r>
      <w:r>
        <w:t xml:space="preserve"> </w:t>
      </w:r>
      <w:r>
        <w:t xml:space="preserve">note 4.</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1: Opening Remarks and Keynote Address</dc:title>
  <dc:creator/>
  <cp:keywords/>
  <dcterms:created xsi:type="dcterms:W3CDTF">2026-10-19T14:17:02Z</dcterms:created>
  <dcterms:modified xsi:type="dcterms:W3CDTF">2026-10-19T14:17:02Z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Friday, October 2, 2026</vt:lpwstr>
  </property>
</Properties>
</file>